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6C9" w:rsidRPr="00FB16C9" w:rsidRDefault="00FB16C9" w:rsidP="00FB16C9">
      <w:pPr>
        <w:widowControl/>
        <w:spacing w:before="100" w:beforeAutospacing="1" w:after="100" w:afterAutospacing="1"/>
        <w:jc w:val="left"/>
        <w:outlineLvl w:val="2"/>
        <w:rPr>
          <w:rFonts w:ascii="宋体" w:eastAsia="宋体" w:hAnsi="宋体" w:cs="宋体"/>
          <w:b/>
          <w:bCs/>
          <w:kern w:val="0"/>
          <w:sz w:val="27"/>
          <w:szCs w:val="27"/>
        </w:rPr>
      </w:pPr>
      <w:bookmarkStart w:id="0" w:name="_GoBack"/>
      <w:r w:rsidRPr="00FB16C9">
        <w:rPr>
          <w:rFonts w:ascii="宋体" w:eastAsia="宋体" w:hAnsi="宋体" w:cs="宋体"/>
          <w:b/>
          <w:bCs/>
          <w:kern w:val="0"/>
          <w:sz w:val="27"/>
          <w:szCs w:val="27"/>
        </w:rPr>
        <w:t>浙江省教育厅关于印发《浙江省高等教育“十三五”发展规划》的通知</w:t>
      </w:r>
    </w:p>
    <w:bookmarkEnd w:id="0"/>
    <w:p w:rsidR="00FB16C9" w:rsidRPr="00FB16C9" w:rsidRDefault="00FB16C9" w:rsidP="00FB16C9">
      <w:pPr>
        <w:widowControl/>
        <w:spacing w:before="100" w:beforeAutospacing="1" w:after="100" w:afterAutospacing="1"/>
        <w:ind w:firstLine="480"/>
        <w:jc w:val="center"/>
        <w:rPr>
          <w:rFonts w:ascii="宋体" w:eastAsia="宋体" w:hAnsi="宋体" w:cs="宋体"/>
          <w:kern w:val="0"/>
          <w:sz w:val="24"/>
          <w:szCs w:val="24"/>
        </w:rPr>
      </w:pPr>
      <w:proofErr w:type="gramStart"/>
      <w:r w:rsidRPr="00FB16C9">
        <w:rPr>
          <w:rFonts w:ascii="宋体" w:eastAsia="宋体" w:hAnsi="宋体" w:cs="宋体"/>
          <w:kern w:val="0"/>
          <w:sz w:val="24"/>
          <w:szCs w:val="24"/>
        </w:rPr>
        <w:t>浙教高</w:t>
      </w:r>
      <w:proofErr w:type="gramEnd"/>
      <w:r w:rsidRPr="00FB16C9">
        <w:rPr>
          <w:rFonts w:ascii="宋体" w:eastAsia="宋体" w:hAnsi="宋体" w:cs="宋体"/>
          <w:kern w:val="0"/>
          <w:sz w:val="24"/>
          <w:szCs w:val="24"/>
        </w:rPr>
        <w:t xml:space="preserve">科〔2016〕139号 </w:t>
      </w:r>
    </w:p>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kern w:val="0"/>
          <w:sz w:val="24"/>
          <w:szCs w:val="24"/>
        </w:rPr>
        <w:t xml:space="preserve">各高等学校，各设区市及有关县（市、区）教育局： </w:t>
      </w:r>
    </w:p>
    <w:p w:rsidR="00FB16C9" w:rsidRPr="00FB16C9" w:rsidRDefault="00FB16C9" w:rsidP="00FB16C9">
      <w:pPr>
        <w:widowControl/>
        <w:spacing w:before="100" w:beforeAutospacing="1" w:after="100" w:afterAutospacing="1"/>
        <w:ind w:firstLine="480"/>
        <w:jc w:val="left"/>
        <w:rPr>
          <w:rFonts w:ascii="宋体" w:eastAsia="宋体" w:hAnsi="宋体" w:cs="宋体"/>
          <w:kern w:val="0"/>
          <w:sz w:val="24"/>
          <w:szCs w:val="24"/>
        </w:rPr>
      </w:pPr>
      <w:r w:rsidRPr="00FB16C9">
        <w:rPr>
          <w:rFonts w:ascii="宋体" w:eastAsia="宋体" w:hAnsi="宋体" w:cs="宋体"/>
          <w:kern w:val="0"/>
          <w:sz w:val="24"/>
          <w:szCs w:val="24"/>
        </w:rPr>
        <w:t xml:space="preserve">现将《浙江省高等教育“十三五”发展规划》印发给你们，请结合实际认真贯彻实施。 </w:t>
      </w:r>
    </w:p>
    <w:p w:rsidR="00FB16C9" w:rsidRPr="00FB16C9" w:rsidRDefault="00FB16C9" w:rsidP="00FB16C9">
      <w:pPr>
        <w:widowControl/>
        <w:spacing w:before="100" w:beforeAutospacing="1" w:after="100" w:afterAutospacing="1"/>
        <w:ind w:firstLine="480"/>
        <w:jc w:val="right"/>
        <w:rPr>
          <w:rFonts w:ascii="宋体" w:eastAsia="宋体" w:hAnsi="宋体" w:cs="宋体"/>
          <w:kern w:val="0"/>
          <w:sz w:val="24"/>
          <w:szCs w:val="24"/>
        </w:rPr>
      </w:pPr>
      <w:r w:rsidRPr="00FB16C9">
        <w:rPr>
          <w:rFonts w:ascii="宋体" w:eastAsia="宋体" w:hAnsi="宋体" w:cs="宋体"/>
          <w:kern w:val="0"/>
          <w:sz w:val="24"/>
          <w:szCs w:val="24"/>
        </w:rPr>
        <w:t xml:space="preserve">浙江省教育厅 </w:t>
      </w:r>
    </w:p>
    <w:p w:rsidR="00FB16C9" w:rsidRPr="00FB16C9" w:rsidRDefault="00FB16C9" w:rsidP="00FB16C9">
      <w:pPr>
        <w:widowControl/>
        <w:spacing w:before="100" w:beforeAutospacing="1" w:after="100" w:afterAutospacing="1"/>
        <w:ind w:firstLine="480"/>
        <w:jc w:val="right"/>
        <w:rPr>
          <w:rFonts w:ascii="宋体" w:eastAsia="宋体" w:hAnsi="宋体" w:cs="宋体"/>
          <w:kern w:val="0"/>
          <w:sz w:val="24"/>
          <w:szCs w:val="24"/>
        </w:rPr>
      </w:pPr>
      <w:r w:rsidRPr="00FB16C9">
        <w:rPr>
          <w:rFonts w:ascii="宋体" w:eastAsia="宋体" w:hAnsi="宋体" w:cs="宋体"/>
          <w:kern w:val="0"/>
          <w:sz w:val="24"/>
          <w:szCs w:val="24"/>
        </w:rPr>
        <w:t xml:space="preserve">2016年10月22日 </w:t>
      </w:r>
    </w:p>
    <w:p w:rsidR="00FB16C9" w:rsidRPr="00FB16C9" w:rsidRDefault="00FB16C9" w:rsidP="00FB16C9">
      <w:pPr>
        <w:widowControl/>
        <w:spacing w:before="100" w:beforeAutospacing="1" w:after="100" w:afterAutospacing="1"/>
        <w:ind w:firstLine="480"/>
        <w:jc w:val="left"/>
        <w:rPr>
          <w:rFonts w:ascii="宋体" w:eastAsia="宋体" w:hAnsi="宋体" w:cs="宋体"/>
          <w:kern w:val="0"/>
          <w:sz w:val="24"/>
          <w:szCs w:val="24"/>
        </w:rPr>
      </w:pPr>
    </w:p>
    <w:p w:rsidR="00FB16C9" w:rsidRPr="00FB16C9" w:rsidRDefault="00FB16C9" w:rsidP="00FB16C9">
      <w:pPr>
        <w:widowControl/>
        <w:spacing w:before="100" w:beforeAutospacing="1" w:after="100" w:afterAutospacing="1"/>
        <w:ind w:firstLine="480"/>
        <w:jc w:val="center"/>
        <w:rPr>
          <w:rFonts w:ascii="宋体" w:eastAsia="宋体" w:hAnsi="宋体" w:cs="宋体"/>
          <w:kern w:val="0"/>
          <w:sz w:val="24"/>
          <w:szCs w:val="24"/>
        </w:rPr>
      </w:pPr>
      <w:r w:rsidRPr="00FB16C9">
        <w:rPr>
          <w:rFonts w:ascii="宋体" w:eastAsia="宋体" w:hAnsi="宋体" w:cs="宋体"/>
          <w:kern w:val="0"/>
          <w:sz w:val="24"/>
          <w:szCs w:val="24"/>
        </w:rPr>
        <w:t xml:space="preserve">浙江省高等教育“十三五”发展规划 </w:t>
      </w:r>
    </w:p>
    <w:p w:rsidR="00FB16C9" w:rsidRPr="00FB16C9" w:rsidRDefault="00FB16C9" w:rsidP="00FB16C9">
      <w:pPr>
        <w:widowControl/>
        <w:spacing w:before="100" w:beforeAutospacing="1" w:after="100" w:afterAutospacing="1"/>
        <w:ind w:firstLine="480"/>
        <w:jc w:val="center"/>
        <w:rPr>
          <w:rFonts w:ascii="宋体" w:eastAsia="宋体" w:hAnsi="宋体" w:cs="宋体"/>
          <w:kern w:val="0"/>
          <w:sz w:val="24"/>
          <w:szCs w:val="24"/>
        </w:rPr>
      </w:pPr>
      <w:r w:rsidRPr="00FB16C9">
        <w:rPr>
          <w:rFonts w:ascii="宋体" w:eastAsia="宋体" w:hAnsi="宋体" w:cs="宋体"/>
          <w:kern w:val="0"/>
          <w:sz w:val="24"/>
          <w:szCs w:val="24"/>
        </w:rPr>
        <w:t xml:space="preserve">（2016—2020年）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 </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为大力提高我省高等教育办学水平和竞争力，加快建成高等教育强省，在全国率先实现教育现代化，根据《国家中长期教育改革和发展规划纲要（2010—2020年）》《浙江省中长期教育改革和发展规划纲要（2010—2020年）》以及《浙江省教育事业发展“十三五”规划》，结合浙江高等教育发展实际，制定本规划。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一、发展成就和面临的挑战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（一）“十二五”时期我省高等教育发展取得显著成就。</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十二五”期间，我省高等教育突出内涵为主建设，获得了蓬勃发展。结构布局明显优化，杭州、宁波、温州高等教育中心和其他设区市“一本多专”或“一本一专”格局进一步完善，本科教育和高职教育协调推进，研究生教育尤其是专业学位研究生教育发展迅速，利用国外资源建设高水平大学取得很大进展。教育质量明显提高，办学条件明显改善，教师队伍建设整体水平大为提高，出台了本科教学业绩考核、课堂教学创新、青年教师助讲培养、支持学生</w:t>
      </w:r>
      <w:proofErr w:type="gramStart"/>
      <w:r w:rsidRPr="00FB16C9">
        <w:rPr>
          <w:rFonts w:ascii="宋体" w:eastAsia="宋体" w:hAnsi="宋体" w:cs="宋体"/>
          <w:kern w:val="0"/>
          <w:sz w:val="24"/>
          <w:szCs w:val="24"/>
        </w:rPr>
        <w:t>有序转专业</w:t>
      </w:r>
      <w:proofErr w:type="gramEnd"/>
      <w:r w:rsidRPr="00FB16C9">
        <w:rPr>
          <w:rFonts w:ascii="宋体" w:eastAsia="宋体" w:hAnsi="宋体" w:cs="宋体"/>
          <w:kern w:val="0"/>
          <w:sz w:val="24"/>
          <w:szCs w:val="24"/>
        </w:rPr>
        <w:t xml:space="preserve">以及校（院）长抓教学工作述职、教学工作巡查等一系列举措，人才培养工作得到切实加强。发展能力和服务水平不断提升，学科、专业建设得到有效加强，与经济社会发展联系更为密切，产学研合作广泛活跃，科研成果推广运用取得明显成效。办学活力不断增强，深化高等教育办学体制和管理机制改革，下放高校专业设置权、教师专业技术职务评聘权，推进高校章程建设，扩大高校办学自主权。2015年，我省高等教育毛入学率达到56%，在全国省区中率先进入普及化阶段，成为全国高等教育水平、竞争力、国际化程度提升最快的省区之一。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（二）“十三五”时期我省高等教育面临的挑战。</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lastRenderedPageBreak/>
        <w:t xml:space="preserve">“十三五”时期，是浙江全面建成高水平小康社会，率先实现教育现代化，建设高等教育强省的决胜期。“十二五”时期取得的发展成就，经济社会发展的良好局面，为我省高等教育加快发展创造了良好条件。但是，与经济社会发展、产业结构调整需求和人民群众期盼相对照，高等教育在办学体制机制和活力、学科专业结构和水平、人才培养模式和质量、科技创新和服务能力等许多方面还存在着不适应，高等教育仍是我省诸多教育中的薄弱环节。全面优化高等教育结构，增强高等教育发展活力和竞争力，提升高等教育发展水平，将是浙江省实现教育现代化的至关重要的任务。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二、指导思想和总体目标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（一）指导思想。</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高举中国特色社会主义伟大旗帜，以邓小平理论和“三个代表”重要思想、科学发展观为指导，深入贯彻习近平总书记系列重要讲话精神，以“四个全面”战略布局为引领，以“干在实处，走在前列，勇立潮头”为新使命，以改革开放为动力，以内涵提升为重点，坚持“创新、协调、绿色、开放、共享”的发展理念，控制数量，优化结构，强化特色，提升质量，增强服务，着力增强高校的办学活力，着力增强高等教育的发展水平和竞争力，着力增强高等教育服务经济社会发展的能力。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（二）总体目标。</w:t>
      </w:r>
      <w:r w:rsidRPr="00FB16C9">
        <w:rPr>
          <w:rFonts w:ascii="宋体" w:eastAsia="宋体" w:hAnsi="宋体" w:cs="宋体"/>
          <w:kern w:val="0"/>
          <w:sz w:val="24"/>
          <w:szCs w:val="24"/>
        </w:rPr>
        <w:t xml:space="preserve"> </w:t>
      </w:r>
    </w:p>
    <w:p w:rsidR="00FB16C9" w:rsidRPr="00FB16C9" w:rsidRDefault="00FB16C9" w:rsidP="00FB16C9">
      <w:pPr>
        <w:widowControl/>
        <w:shd w:val="clear" w:color="auto" w:fill="FFFFFF"/>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到2020年，全省高等教育竞争力和综合实力进入全国省区市前列，高等院校错位发展、特色发展的格局基本形成，若干所高校在全国同层次、同类型高校中处于领先地位，一批学科进入全国一流行列，高层次人才增量保持全国领先，人才培养质量和保障水平全面提高，办学体制机制优势得到充分彰显，国际化办学水平进一步提升，高等教育与浙江经济社会发展的需求趋于良好匹配，基本建成高等教育强省。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控制数量。保持普通本、专科学校数量相对稳定。除引进建设国际国内高水平大学外，原则上不再新批增设高等学校，支持和鼓励高校引进国内外优质教育资源合作举办相对独立的二级学院。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优化结构。优化层次结构，促进研究生、本科、高职教育协调发展；优化类型结构，加快推进应用型高校建设；优化学科专业结构，增进学科专业竞争力。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强化特色。构建高校“二维发展及评价体系”，实行分类管理，引导不同类型、不同层次的高校办出特色，争创一流。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提升质量。坚持立德树人，构建全员育人格局；实施重点高校、优质高职院校和一流学科建设计划、优势特色专业建设计划；实施本科和高职院校教师激励提升计划；切实推进创新创业教育。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lastRenderedPageBreak/>
        <w:t xml:space="preserve">增强服务。紧紧围绕国家战略举措、省委省政府七大万亿产业、“五水共治”、“四换三名”、特色小镇建设和繁荣哲学社会科学发展等重大举措，积极推进协同创新、协同育人，构建大平台，建设大项目，产出大成果，促进科技成果转化，努力为经济社会发展提供强有力的科技支撑和人才保障。 </w:t>
      </w:r>
    </w:p>
    <w:p w:rsidR="00FB16C9" w:rsidRPr="00FB16C9" w:rsidRDefault="00FB16C9" w:rsidP="00FB16C9">
      <w:pPr>
        <w:widowControl/>
        <w:spacing w:before="100" w:beforeAutospacing="1" w:after="100" w:afterAutospacing="1"/>
        <w:ind w:firstLine="480"/>
        <w:jc w:val="center"/>
        <w:rPr>
          <w:rFonts w:ascii="宋体" w:eastAsia="宋体" w:hAnsi="宋体" w:cs="宋体"/>
          <w:kern w:val="0"/>
          <w:sz w:val="24"/>
          <w:szCs w:val="24"/>
        </w:rPr>
      </w:pPr>
      <w:r w:rsidRPr="00FB16C9">
        <w:rPr>
          <w:rFonts w:ascii="宋体" w:eastAsia="宋体" w:hAnsi="宋体" w:cs="宋体"/>
          <w:b/>
          <w:bCs/>
          <w:kern w:val="0"/>
          <w:sz w:val="24"/>
          <w:szCs w:val="24"/>
        </w:rPr>
        <w:t>浙江省“十三五”期间高等教育事业发展</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480"/>
        <w:jc w:val="center"/>
        <w:rPr>
          <w:rFonts w:ascii="宋体" w:eastAsia="宋体" w:hAnsi="宋体" w:cs="宋体"/>
          <w:kern w:val="0"/>
          <w:sz w:val="24"/>
          <w:szCs w:val="24"/>
        </w:rPr>
      </w:pPr>
      <w:r w:rsidRPr="00FB16C9">
        <w:rPr>
          <w:rFonts w:ascii="宋体" w:eastAsia="宋体" w:hAnsi="宋体" w:cs="宋体"/>
          <w:b/>
          <w:bCs/>
          <w:kern w:val="0"/>
          <w:sz w:val="24"/>
          <w:szCs w:val="24"/>
        </w:rPr>
        <w:t>主要预期指标</w:t>
      </w:r>
      <w:r w:rsidRPr="00FB16C9">
        <w:rPr>
          <w:rFonts w:ascii="宋体" w:eastAsia="宋体" w:hAnsi="宋体" w:cs="宋体"/>
          <w:kern w:val="0"/>
          <w:sz w:val="24"/>
          <w:szCs w:val="24"/>
        </w:rPr>
        <w:t xml:space="preserve"> </w:t>
      </w:r>
    </w:p>
    <w:tbl>
      <w:tblPr>
        <w:tblW w:w="8928" w:type="dxa"/>
        <w:jc w:val="center"/>
        <w:tblCellSpacing w:w="0" w:type="dxa"/>
        <w:tblCellMar>
          <w:left w:w="0" w:type="dxa"/>
          <w:right w:w="0" w:type="dxa"/>
        </w:tblCellMar>
        <w:tblLook w:val="04A0" w:firstRow="1" w:lastRow="0" w:firstColumn="1" w:lastColumn="0" w:noHBand="0" w:noVBand="1"/>
      </w:tblPr>
      <w:tblGrid>
        <w:gridCol w:w="706"/>
        <w:gridCol w:w="2236"/>
        <w:gridCol w:w="2836"/>
        <w:gridCol w:w="990"/>
        <w:gridCol w:w="1140"/>
        <w:gridCol w:w="1020"/>
      </w:tblGrid>
      <w:tr w:rsidR="00FB16C9" w:rsidRPr="00FB16C9" w:rsidTr="00FB16C9">
        <w:trPr>
          <w:tblCellSpacing w:w="0" w:type="dxa"/>
          <w:jc w:val="center"/>
        </w:trPr>
        <w:tc>
          <w:tcPr>
            <w:tcW w:w="705"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b/>
                <w:bCs/>
                <w:kern w:val="0"/>
                <w:sz w:val="24"/>
                <w:szCs w:val="24"/>
              </w:rPr>
              <w:t>序号</w:t>
            </w:r>
            <w:r w:rsidRPr="00FB16C9">
              <w:rPr>
                <w:rFonts w:ascii="宋体" w:eastAsia="宋体" w:hAnsi="宋体" w:cs="宋体"/>
                <w:kern w:val="0"/>
                <w:sz w:val="24"/>
                <w:szCs w:val="24"/>
              </w:rPr>
              <w:t xml:space="preserve"> </w:t>
            </w:r>
          </w:p>
        </w:tc>
        <w:tc>
          <w:tcPr>
            <w:tcW w:w="5070" w:type="dxa"/>
            <w:gridSpan w:val="2"/>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b/>
                <w:bCs/>
                <w:kern w:val="0"/>
                <w:sz w:val="24"/>
                <w:szCs w:val="24"/>
              </w:rPr>
              <w:t>指标</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b/>
                <w:bCs/>
                <w:kern w:val="0"/>
                <w:sz w:val="24"/>
                <w:szCs w:val="24"/>
              </w:rPr>
              <w:t>单位</w:t>
            </w:r>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b/>
                <w:bCs/>
                <w:kern w:val="0"/>
                <w:sz w:val="24"/>
                <w:szCs w:val="24"/>
              </w:rPr>
              <w:t>2015年</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ind w:firstLine="105"/>
              <w:jc w:val="center"/>
              <w:rPr>
                <w:rFonts w:ascii="宋体" w:eastAsia="宋体" w:hAnsi="宋体" w:cs="宋体"/>
                <w:kern w:val="0"/>
                <w:sz w:val="24"/>
                <w:szCs w:val="24"/>
              </w:rPr>
            </w:pPr>
            <w:r w:rsidRPr="00FB16C9">
              <w:rPr>
                <w:rFonts w:ascii="宋体" w:eastAsia="宋体" w:hAnsi="宋体" w:cs="宋体" w:hint="eastAsia"/>
                <w:b/>
                <w:bCs/>
                <w:kern w:val="0"/>
                <w:sz w:val="24"/>
                <w:szCs w:val="24"/>
              </w:rPr>
              <w:t>2020年</w:t>
            </w:r>
            <w:r w:rsidRPr="00FB16C9">
              <w:rPr>
                <w:rFonts w:ascii="宋体" w:eastAsia="宋体" w:hAnsi="宋体" w:cs="宋体"/>
                <w:kern w:val="0"/>
                <w:sz w:val="24"/>
                <w:szCs w:val="24"/>
              </w:rPr>
              <w:t xml:space="preserve"> </w:t>
            </w:r>
          </w:p>
        </w:tc>
      </w:tr>
      <w:tr w:rsidR="00FB16C9" w:rsidRPr="00FB16C9" w:rsidTr="00FB16C9">
        <w:trPr>
          <w:tblCellSpacing w:w="0" w:type="dxa"/>
          <w:jc w:val="center"/>
        </w:trPr>
        <w:tc>
          <w:tcPr>
            <w:tcW w:w="705"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1</w:t>
            </w:r>
            <w:r w:rsidRPr="00FB16C9">
              <w:rPr>
                <w:rFonts w:ascii="宋体" w:eastAsia="宋体" w:hAnsi="宋体" w:cs="宋体" w:hint="eastAsia"/>
                <w:kern w:val="0"/>
                <w:sz w:val="24"/>
                <w:szCs w:val="24"/>
                <w:vertAlign w:val="superscript"/>
              </w:rPr>
              <w:t>①</w:t>
            </w:r>
            <w:r w:rsidRPr="00FB16C9">
              <w:rPr>
                <w:rFonts w:ascii="宋体" w:eastAsia="宋体" w:hAnsi="宋体" w:cs="宋体"/>
                <w:kern w:val="0"/>
                <w:sz w:val="24"/>
                <w:szCs w:val="24"/>
              </w:rPr>
              <w:t xml:space="preserve"> </w:t>
            </w:r>
          </w:p>
        </w:tc>
        <w:tc>
          <w:tcPr>
            <w:tcW w:w="5070" w:type="dxa"/>
            <w:gridSpan w:val="2"/>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ind w:firstLine="206"/>
              <w:jc w:val="center"/>
              <w:rPr>
                <w:rFonts w:ascii="宋体" w:eastAsia="宋体" w:hAnsi="宋体" w:cs="宋体"/>
                <w:kern w:val="0"/>
                <w:sz w:val="24"/>
                <w:szCs w:val="24"/>
              </w:rPr>
            </w:pPr>
            <w:proofErr w:type="gramStart"/>
            <w:r w:rsidRPr="00FB16C9">
              <w:rPr>
                <w:rFonts w:ascii="宋体" w:eastAsia="宋体" w:hAnsi="宋体" w:cs="宋体" w:hint="eastAsia"/>
                <w:color w:val="323232"/>
                <w:kern w:val="0"/>
                <w:sz w:val="24"/>
                <w:szCs w:val="24"/>
              </w:rPr>
              <w:t>在学总</w:t>
            </w:r>
            <w:proofErr w:type="gramEnd"/>
            <w:r w:rsidRPr="00FB16C9">
              <w:rPr>
                <w:rFonts w:ascii="宋体" w:eastAsia="宋体" w:hAnsi="宋体" w:cs="宋体" w:hint="eastAsia"/>
                <w:color w:val="323232"/>
                <w:kern w:val="0"/>
                <w:sz w:val="24"/>
                <w:szCs w:val="24"/>
              </w:rPr>
              <w:t>规模</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color w:val="323232"/>
                <w:kern w:val="0"/>
                <w:sz w:val="24"/>
                <w:szCs w:val="24"/>
              </w:rPr>
              <w:t>万人</w:t>
            </w:r>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color w:val="323232"/>
                <w:kern w:val="0"/>
                <w:sz w:val="24"/>
                <w:szCs w:val="24"/>
              </w:rPr>
              <w:t>148</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color w:val="323232"/>
                <w:kern w:val="0"/>
                <w:sz w:val="24"/>
                <w:szCs w:val="24"/>
              </w:rPr>
              <w:t>159</w:t>
            </w:r>
            <w:r w:rsidRPr="00FB16C9">
              <w:rPr>
                <w:rFonts w:ascii="宋体" w:eastAsia="宋体" w:hAnsi="宋体" w:cs="宋体"/>
                <w:kern w:val="0"/>
                <w:sz w:val="24"/>
                <w:szCs w:val="24"/>
              </w:rPr>
              <w:t xml:space="preserve"> </w:t>
            </w:r>
          </w:p>
        </w:tc>
      </w:tr>
      <w:tr w:rsidR="00FB16C9" w:rsidRPr="00FB16C9" w:rsidTr="00FB16C9">
        <w:trPr>
          <w:tblCellSpacing w:w="0" w:type="dxa"/>
          <w:jc w:val="center"/>
        </w:trPr>
        <w:tc>
          <w:tcPr>
            <w:tcW w:w="705"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2</w:t>
            </w:r>
            <w:r w:rsidRPr="00FB16C9">
              <w:rPr>
                <w:rFonts w:ascii="宋体" w:eastAsia="宋体" w:hAnsi="宋体" w:cs="宋体" w:hint="eastAsia"/>
                <w:kern w:val="0"/>
                <w:sz w:val="24"/>
                <w:szCs w:val="24"/>
                <w:vertAlign w:val="superscript"/>
              </w:rPr>
              <w:t>②</w:t>
            </w:r>
            <w:r w:rsidRPr="00FB16C9">
              <w:rPr>
                <w:rFonts w:ascii="宋体" w:eastAsia="宋体" w:hAnsi="宋体" w:cs="宋体"/>
                <w:kern w:val="0"/>
                <w:sz w:val="24"/>
                <w:szCs w:val="24"/>
              </w:rPr>
              <w:t xml:space="preserve"> </w:t>
            </w:r>
          </w:p>
        </w:tc>
        <w:tc>
          <w:tcPr>
            <w:tcW w:w="5070" w:type="dxa"/>
            <w:gridSpan w:val="2"/>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ind w:firstLine="206"/>
              <w:jc w:val="center"/>
              <w:rPr>
                <w:rFonts w:ascii="宋体" w:eastAsia="宋体" w:hAnsi="宋体" w:cs="宋体"/>
                <w:kern w:val="0"/>
                <w:sz w:val="24"/>
                <w:szCs w:val="24"/>
              </w:rPr>
            </w:pPr>
            <w:r w:rsidRPr="00FB16C9">
              <w:rPr>
                <w:rFonts w:ascii="宋体" w:eastAsia="宋体" w:hAnsi="宋体" w:cs="宋体" w:hint="eastAsia"/>
                <w:color w:val="323232"/>
                <w:kern w:val="0"/>
                <w:sz w:val="24"/>
                <w:szCs w:val="24"/>
              </w:rPr>
              <w:t>在校生</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color w:val="323232"/>
                <w:kern w:val="0"/>
                <w:sz w:val="24"/>
                <w:szCs w:val="24"/>
              </w:rPr>
              <w:t>万人</w:t>
            </w:r>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color w:val="323232"/>
                <w:kern w:val="0"/>
                <w:sz w:val="24"/>
                <w:szCs w:val="24"/>
              </w:rPr>
              <w:t>133</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color w:val="323232"/>
                <w:kern w:val="0"/>
                <w:sz w:val="24"/>
                <w:szCs w:val="24"/>
              </w:rPr>
              <w:t>144</w:t>
            </w:r>
            <w:r w:rsidRPr="00FB16C9">
              <w:rPr>
                <w:rFonts w:ascii="宋体" w:eastAsia="宋体" w:hAnsi="宋体" w:cs="宋体"/>
                <w:kern w:val="0"/>
                <w:sz w:val="24"/>
                <w:szCs w:val="24"/>
              </w:rPr>
              <w:t xml:space="preserve"> </w:t>
            </w:r>
          </w:p>
        </w:tc>
      </w:tr>
      <w:tr w:rsidR="00FB16C9" w:rsidRPr="00FB16C9" w:rsidTr="00FB16C9">
        <w:trPr>
          <w:tblCellSpacing w:w="0" w:type="dxa"/>
          <w:jc w:val="center"/>
        </w:trPr>
        <w:tc>
          <w:tcPr>
            <w:tcW w:w="705"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3</w:t>
            </w:r>
            <w:r w:rsidRPr="00FB16C9">
              <w:rPr>
                <w:rFonts w:ascii="宋体" w:eastAsia="宋体" w:hAnsi="宋体" w:cs="宋体"/>
                <w:kern w:val="0"/>
                <w:sz w:val="24"/>
                <w:szCs w:val="24"/>
              </w:rPr>
              <w:t xml:space="preserve"> </w:t>
            </w:r>
          </w:p>
        </w:tc>
        <w:tc>
          <w:tcPr>
            <w:tcW w:w="5070" w:type="dxa"/>
            <w:gridSpan w:val="2"/>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ind w:firstLine="206"/>
              <w:jc w:val="center"/>
              <w:rPr>
                <w:rFonts w:ascii="宋体" w:eastAsia="宋体" w:hAnsi="宋体" w:cs="宋体"/>
                <w:kern w:val="0"/>
                <w:sz w:val="24"/>
                <w:szCs w:val="24"/>
              </w:rPr>
            </w:pPr>
            <w:r w:rsidRPr="00FB16C9">
              <w:rPr>
                <w:rFonts w:ascii="宋体" w:eastAsia="宋体" w:hAnsi="宋体" w:cs="宋体" w:hint="eastAsia"/>
                <w:color w:val="323232"/>
                <w:kern w:val="0"/>
                <w:sz w:val="24"/>
                <w:szCs w:val="24"/>
              </w:rPr>
              <w:t>其中：研究生</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color w:val="323232"/>
                <w:kern w:val="0"/>
                <w:sz w:val="24"/>
                <w:szCs w:val="24"/>
              </w:rPr>
              <w:t>万人</w:t>
            </w:r>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color w:val="323232"/>
                <w:kern w:val="0"/>
                <w:sz w:val="24"/>
                <w:szCs w:val="24"/>
              </w:rPr>
              <w:t>6.35</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color w:val="323232"/>
                <w:kern w:val="0"/>
                <w:sz w:val="24"/>
                <w:szCs w:val="24"/>
              </w:rPr>
              <w:t>8</w:t>
            </w:r>
            <w:r w:rsidRPr="00FB16C9">
              <w:rPr>
                <w:rFonts w:ascii="宋体" w:eastAsia="宋体" w:hAnsi="宋体" w:cs="宋体"/>
                <w:kern w:val="0"/>
                <w:sz w:val="24"/>
                <w:szCs w:val="24"/>
              </w:rPr>
              <w:t xml:space="preserve"> </w:t>
            </w:r>
          </w:p>
        </w:tc>
      </w:tr>
      <w:tr w:rsidR="00FB16C9" w:rsidRPr="00FB16C9" w:rsidTr="00FB16C9">
        <w:trPr>
          <w:tblCellSpacing w:w="0" w:type="dxa"/>
          <w:jc w:val="center"/>
        </w:trPr>
        <w:tc>
          <w:tcPr>
            <w:tcW w:w="705"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4</w:t>
            </w:r>
            <w:r w:rsidRPr="00FB16C9">
              <w:rPr>
                <w:rFonts w:ascii="宋体" w:eastAsia="宋体" w:hAnsi="宋体" w:cs="宋体"/>
                <w:kern w:val="0"/>
                <w:sz w:val="24"/>
                <w:szCs w:val="24"/>
              </w:rPr>
              <w:t xml:space="preserve"> </w:t>
            </w:r>
          </w:p>
        </w:tc>
        <w:tc>
          <w:tcPr>
            <w:tcW w:w="5070" w:type="dxa"/>
            <w:gridSpan w:val="2"/>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ind w:firstLine="206"/>
              <w:jc w:val="center"/>
              <w:rPr>
                <w:rFonts w:ascii="宋体" w:eastAsia="宋体" w:hAnsi="宋体" w:cs="宋体"/>
                <w:kern w:val="0"/>
                <w:sz w:val="24"/>
                <w:szCs w:val="24"/>
              </w:rPr>
            </w:pPr>
            <w:r w:rsidRPr="00FB16C9">
              <w:rPr>
                <w:rFonts w:ascii="宋体" w:eastAsia="宋体" w:hAnsi="宋体" w:cs="宋体" w:hint="eastAsia"/>
                <w:color w:val="323232"/>
                <w:kern w:val="0"/>
                <w:sz w:val="24"/>
                <w:szCs w:val="24"/>
              </w:rPr>
              <w:t>毛入学率</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color w:val="323232"/>
                <w:kern w:val="0"/>
                <w:sz w:val="24"/>
                <w:szCs w:val="24"/>
              </w:rPr>
              <w:t>%</w:t>
            </w:r>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color w:val="323232"/>
                <w:kern w:val="0"/>
                <w:sz w:val="24"/>
                <w:szCs w:val="24"/>
              </w:rPr>
              <w:t>56</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color w:val="323232"/>
                <w:kern w:val="0"/>
                <w:sz w:val="24"/>
                <w:szCs w:val="24"/>
              </w:rPr>
              <w:t>62</w:t>
            </w:r>
            <w:r w:rsidRPr="00FB16C9">
              <w:rPr>
                <w:rFonts w:ascii="宋体" w:eastAsia="宋体" w:hAnsi="宋体" w:cs="宋体"/>
                <w:kern w:val="0"/>
                <w:sz w:val="24"/>
                <w:szCs w:val="24"/>
              </w:rPr>
              <w:t xml:space="preserve"> </w:t>
            </w:r>
          </w:p>
        </w:tc>
      </w:tr>
      <w:tr w:rsidR="00FB16C9" w:rsidRPr="00FB16C9" w:rsidTr="00FB16C9">
        <w:trPr>
          <w:tblCellSpacing w:w="0" w:type="dxa"/>
          <w:jc w:val="center"/>
        </w:trPr>
        <w:tc>
          <w:tcPr>
            <w:tcW w:w="705"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5</w:t>
            </w:r>
            <w:r w:rsidRPr="00FB16C9">
              <w:rPr>
                <w:rFonts w:ascii="宋体" w:eastAsia="宋体" w:hAnsi="宋体" w:cs="宋体"/>
                <w:kern w:val="0"/>
                <w:sz w:val="24"/>
                <w:szCs w:val="24"/>
              </w:rPr>
              <w:t xml:space="preserve"> </w:t>
            </w:r>
          </w:p>
        </w:tc>
        <w:tc>
          <w:tcPr>
            <w:tcW w:w="5070" w:type="dxa"/>
            <w:gridSpan w:val="2"/>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普通高校在校生中留学生比例</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w:t>
            </w:r>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2.5</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4</w:t>
            </w:r>
            <w:r w:rsidRPr="00FB16C9">
              <w:rPr>
                <w:rFonts w:ascii="宋体" w:eastAsia="宋体" w:hAnsi="宋体" w:cs="宋体"/>
                <w:kern w:val="0"/>
                <w:sz w:val="24"/>
                <w:szCs w:val="24"/>
              </w:rPr>
              <w:t xml:space="preserve"> </w:t>
            </w:r>
          </w:p>
        </w:tc>
      </w:tr>
      <w:tr w:rsidR="00FB16C9" w:rsidRPr="00FB16C9" w:rsidTr="00FB16C9">
        <w:trPr>
          <w:tblCellSpacing w:w="0" w:type="dxa"/>
          <w:jc w:val="center"/>
        </w:trPr>
        <w:tc>
          <w:tcPr>
            <w:tcW w:w="705" w:type="dxa"/>
            <w:vMerge w:val="restart"/>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6</w:t>
            </w:r>
            <w:r w:rsidRPr="00FB16C9">
              <w:rPr>
                <w:rFonts w:ascii="宋体" w:eastAsia="宋体" w:hAnsi="宋体" w:cs="宋体"/>
                <w:kern w:val="0"/>
                <w:sz w:val="24"/>
                <w:szCs w:val="24"/>
              </w:rPr>
              <w:t xml:space="preserve"> </w:t>
            </w:r>
          </w:p>
        </w:tc>
        <w:tc>
          <w:tcPr>
            <w:tcW w:w="5070" w:type="dxa"/>
            <w:gridSpan w:val="2"/>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本科高校专任教师中博士学位比例</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w:t>
            </w:r>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45</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60</w:t>
            </w:r>
            <w:r w:rsidRPr="00FB16C9">
              <w:rPr>
                <w:rFonts w:ascii="宋体" w:eastAsia="宋体" w:hAnsi="宋体" w:cs="宋体"/>
                <w:kern w:val="0"/>
                <w:sz w:val="24"/>
                <w:szCs w:val="24"/>
              </w:rPr>
              <w:t xml:space="preserve"> </w:t>
            </w:r>
          </w:p>
        </w:tc>
      </w:tr>
      <w:tr w:rsidR="00FB16C9" w:rsidRPr="00FB16C9" w:rsidTr="00FB16C9">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jc w:val="left"/>
              <w:rPr>
                <w:rFonts w:ascii="宋体" w:eastAsia="宋体" w:hAnsi="宋体" w:cs="宋体"/>
                <w:kern w:val="0"/>
                <w:sz w:val="24"/>
                <w:szCs w:val="24"/>
              </w:rPr>
            </w:pPr>
          </w:p>
        </w:tc>
        <w:tc>
          <w:tcPr>
            <w:tcW w:w="5070" w:type="dxa"/>
            <w:gridSpan w:val="2"/>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高职高专院校专任教师中硕士以上学位比例</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w:t>
            </w:r>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60</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75</w:t>
            </w:r>
            <w:r w:rsidRPr="00FB16C9">
              <w:rPr>
                <w:rFonts w:ascii="宋体" w:eastAsia="宋体" w:hAnsi="宋体" w:cs="宋体"/>
                <w:kern w:val="0"/>
                <w:sz w:val="24"/>
                <w:szCs w:val="24"/>
              </w:rPr>
              <w:t xml:space="preserve"> </w:t>
            </w:r>
          </w:p>
        </w:tc>
      </w:tr>
      <w:tr w:rsidR="00FB16C9" w:rsidRPr="00FB16C9" w:rsidTr="00FB16C9">
        <w:trPr>
          <w:tblCellSpacing w:w="0" w:type="dxa"/>
          <w:jc w:val="center"/>
        </w:trPr>
        <w:tc>
          <w:tcPr>
            <w:tcW w:w="705" w:type="dxa"/>
            <w:vMerge w:val="restart"/>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7</w:t>
            </w:r>
            <w:r w:rsidRPr="00FB16C9">
              <w:rPr>
                <w:rFonts w:ascii="宋体" w:eastAsia="宋体" w:hAnsi="宋体" w:cs="宋体" w:hint="eastAsia"/>
                <w:kern w:val="0"/>
                <w:sz w:val="24"/>
                <w:szCs w:val="24"/>
                <w:vertAlign w:val="superscript"/>
              </w:rPr>
              <w:t xml:space="preserve"> ③</w:t>
            </w:r>
            <w:r w:rsidRPr="00FB16C9">
              <w:rPr>
                <w:rFonts w:ascii="宋体" w:eastAsia="宋体" w:hAnsi="宋体" w:cs="宋体"/>
                <w:kern w:val="0"/>
                <w:sz w:val="24"/>
                <w:szCs w:val="24"/>
              </w:rPr>
              <w:t xml:space="preserve"> </w:t>
            </w:r>
          </w:p>
        </w:tc>
        <w:tc>
          <w:tcPr>
            <w:tcW w:w="2235" w:type="dxa"/>
            <w:vMerge w:val="restart"/>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专任教师访学（研修）3个月及以上比例</w:t>
            </w:r>
            <w:r w:rsidRPr="00FB16C9">
              <w:rPr>
                <w:rFonts w:ascii="宋体" w:eastAsia="宋体" w:hAnsi="宋体" w:cs="宋体"/>
                <w:kern w:val="0"/>
                <w:sz w:val="24"/>
                <w:szCs w:val="24"/>
              </w:rPr>
              <w:t xml:space="preserve"> </w:t>
            </w:r>
          </w:p>
        </w:tc>
        <w:tc>
          <w:tcPr>
            <w:tcW w:w="2835"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kern w:val="0"/>
                <w:sz w:val="24"/>
                <w:szCs w:val="24"/>
              </w:rPr>
              <w:t>研究生培养高校</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w:t>
            </w:r>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30</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40</w:t>
            </w:r>
            <w:r w:rsidRPr="00FB16C9">
              <w:rPr>
                <w:rFonts w:ascii="宋体" w:eastAsia="宋体" w:hAnsi="宋体" w:cs="宋体"/>
                <w:kern w:val="0"/>
                <w:sz w:val="24"/>
                <w:szCs w:val="24"/>
              </w:rPr>
              <w:t xml:space="preserve"> </w:t>
            </w:r>
          </w:p>
        </w:tc>
      </w:tr>
      <w:tr w:rsidR="00FB16C9" w:rsidRPr="00FB16C9" w:rsidTr="00FB16C9">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jc w:val="left"/>
              <w:rPr>
                <w:rFonts w:ascii="宋体" w:eastAsia="宋体" w:hAnsi="宋体" w:cs="宋体"/>
                <w:kern w:val="0"/>
                <w:sz w:val="24"/>
                <w:szCs w:val="24"/>
              </w:rPr>
            </w:pPr>
          </w:p>
        </w:tc>
        <w:tc>
          <w:tcPr>
            <w:tcW w:w="2835"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其他本科高校</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w:t>
            </w:r>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18</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25</w:t>
            </w:r>
            <w:r w:rsidRPr="00FB16C9">
              <w:rPr>
                <w:rFonts w:ascii="宋体" w:eastAsia="宋体" w:hAnsi="宋体" w:cs="宋体"/>
                <w:kern w:val="0"/>
                <w:sz w:val="24"/>
                <w:szCs w:val="24"/>
              </w:rPr>
              <w:t xml:space="preserve"> </w:t>
            </w:r>
          </w:p>
        </w:tc>
      </w:tr>
      <w:tr w:rsidR="00FB16C9" w:rsidRPr="00FB16C9" w:rsidTr="00FB16C9">
        <w:trPr>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jc w:val="left"/>
              <w:rPr>
                <w:rFonts w:ascii="宋体" w:eastAsia="宋体" w:hAnsi="宋体" w:cs="宋体"/>
                <w:kern w:val="0"/>
                <w:sz w:val="24"/>
                <w:szCs w:val="24"/>
              </w:rPr>
            </w:pPr>
          </w:p>
        </w:tc>
        <w:tc>
          <w:tcPr>
            <w:tcW w:w="2835"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高职高专院校</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w:t>
            </w:r>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6</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8</w:t>
            </w:r>
            <w:r w:rsidRPr="00FB16C9">
              <w:rPr>
                <w:rFonts w:ascii="宋体" w:eastAsia="宋体" w:hAnsi="宋体" w:cs="宋体"/>
                <w:kern w:val="0"/>
                <w:sz w:val="24"/>
                <w:szCs w:val="24"/>
              </w:rPr>
              <w:t xml:space="preserve"> </w:t>
            </w:r>
          </w:p>
        </w:tc>
      </w:tr>
      <w:tr w:rsidR="00FB16C9" w:rsidRPr="00FB16C9" w:rsidTr="00FB16C9">
        <w:trPr>
          <w:tblCellSpacing w:w="0" w:type="dxa"/>
          <w:jc w:val="center"/>
        </w:trPr>
        <w:tc>
          <w:tcPr>
            <w:tcW w:w="0" w:type="auto"/>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ind w:firstLine="105"/>
              <w:jc w:val="left"/>
              <w:rPr>
                <w:rFonts w:ascii="宋体" w:eastAsia="宋体" w:hAnsi="宋体" w:cs="宋体"/>
                <w:kern w:val="0"/>
                <w:sz w:val="24"/>
                <w:szCs w:val="24"/>
              </w:rPr>
            </w:pPr>
            <w:r w:rsidRPr="00FB16C9">
              <w:rPr>
                <w:rFonts w:ascii="宋体" w:eastAsia="宋体" w:hAnsi="宋体" w:cs="宋体" w:hint="eastAsia"/>
                <w:kern w:val="0"/>
                <w:sz w:val="24"/>
                <w:szCs w:val="24"/>
              </w:rPr>
              <w:t>8</w:t>
            </w:r>
            <w:r w:rsidRPr="00FB16C9">
              <w:rPr>
                <w:rFonts w:ascii="宋体" w:eastAsia="宋体" w:hAnsi="宋体" w:cs="宋体"/>
                <w:kern w:val="0"/>
                <w:sz w:val="24"/>
                <w:szCs w:val="24"/>
              </w:rPr>
              <w:t xml:space="preserve"> </w:t>
            </w:r>
          </w:p>
        </w:tc>
        <w:tc>
          <w:tcPr>
            <w:tcW w:w="5070" w:type="dxa"/>
            <w:gridSpan w:val="2"/>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进入ESI全球前1%的学科数</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proofErr w:type="gramStart"/>
            <w:r w:rsidRPr="00FB16C9">
              <w:rPr>
                <w:rFonts w:ascii="宋体" w:eastAsia="宋体" w:hAnsi="宋体" w:cs="宋体" w:hint="eastAsia"/>
                <w:kern w:val="0"/>
                <w:sz w:val="24"/>
                <w:szCs w:val="24"/>
              </w:rPr>
              <w:t>个</w:t>
            </w:r>
            <w:proofErr w:type="gramEnd"/>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34</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50</w:t>
            </w:r>
            <w:r w:rsidRPr="00FB16C9">
              <w:rPr>
                <w:rFonts w:ascii="宋体" w:eastAsia="宋体" w:hAnsi="宋体" w:cs="宋体"/>
                <w:kern w:val="0"/>
                <w:sz w:val="24"/>
                <w:szCs w:val="24"/>
              </w:rPr>
              <w:t xml:space="preserve"> </w:t>
            </w:r>
          </w:p>
        </w:tc>
      </w:tr>
      <w:tr w:rsidR="00FB16C9" w:rsidRPr="00FB16C9" w:rsidTr="00FB16C9">
        <w:trPr>
          <w:tblCellSpacing w:w="0" w:type="dxa"/>
          <w:jc w:val="center"/>
        </w:trPr>
        <w:tc>
          <w:tcPr>
            <w:tcW w:w="0" w:type="auto"/>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ind w:firstLine="105"/>
              <w:jc w:val="left"/>
              <w:rPr>
                <w:rFonts w:ascii="宋体" w:eastAsia="宋体" w:hAnsi="宋体" w:cs="宋体"/>
                <w:kern w:val="0"/>
                <w:sz w:val="24"/>
                <w:szCs w:val="24"/>
              </w:rPr>
            </w:pPr>
            <w:r w:rsidRPr="00FB16C9">
              <w:rPr>
                <w:rFonts w:ascii="宋体" w:eastAsia="宋体" w:hAnsi="宋体" w:cs="宋体" w:hint="eastAsia"/>
                <w:kern w:val="0"/>
                <w:sz w:val="24"/>
                <w:szCs w:val="24"/>
              </w:rPr>
              <w:t>9</w:t>
            </w:r>
            <w:r w:rsidRPr="00FB16C9">
              <w:rPr>
                <w:rFonts w:ascii="宋体" w:eastAsia="宋体" w:hAnsi="宋体" w:cs="宋体"/>
                <w:kern w:val="0"/>
                <w:sz w:val="24"/>
                <w:szCs w:val="24"/>
              </w:rPr>
              <w:t xml:space="preserve"> </w:t>
            </w:r>
          </w:p>
        </w:tc>
        <w:tc>
          <w:tcPr>
            <w:tcW w:w="5070" w:type="dxa"/>
            <w:gridSpan w:val="2"/>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进入全国前10%的一级学科</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proofErr w:type="gramStart"/>
            <w:r w:rsidRPr="00FB16C9">
              <w:rPr>
                <w:rFonts w:ascii="宋体" w:eastAsia="宋体" w:hAnsi="宋体" w:cs="宋体" w:hint="eastAsia"/>
                <w:kern w:val="0"/>
                <w:sz w:val="24"/>
                <w:szCs w:val="24"/>
              </w:rPr>
              <w:t>个</w:t>
            </w:r>
            <w:proofErr w:type="gramEnd"/>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25</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40</w:t>
            </w:r>
            <w:r w:rsidRPr="00FB16C9">
              <w:rPr>
                <w:rFonts w:ascii="宋体" w:eastAsia="宋体" w:hAnsi="宋体" w:cs="宋体"/>
                <w:kern w:val="0"/>
                <w:sz w:val="24"/>
                <w:szCs w:val="24"/>
              </w:rPr>
              <w:t xml:space="preserve"> </w:t>
            </w:r>
          </w:p>
        </w:tc>
      </w:tr>
      <w:tr w:rsidR="00FB16C9" w:rsidRPr="00FB16C9" w:rsidTr="00FB16C9">
        <w:trPr>
          <w:tblCellSpacing w:w="0" w:type="dxa"/>
          <w:jc w:val="center"/>
        </w:trPr>
        <w:tc>
          <w:tcPr>
            <w:tcW w:w="0" w:type="auto"/>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ind w:firstLine="105"/>
              <w:jc w:val="left"/>
              <w:rPr>
                <w:rFonts w:ascii="宋体" w:eastAsia="宋体" w:hAnsi="宋体" w:cs="宋体"/>
                <w:kern w:val="0"/>
                <w:sz w:val="24"/>
                <w:szCs w:val="24"/>
              </w:rPr>
            </w:pPr>
            <w:r w:rsidRPr="00FB16C9">
              <w:rPr>
                <w:rFonts w:ascii="宋体" w:eastAsia="宋体" w:hAnsi="宋体" w:cs="宋体" w:hint="eastAsia"/>
                <w:kern w:val="0"/>
                <w:sz w:val="24"/>
                <w:szCs w:val="24"/>
              </w:rPr>
              <w:t>10</w:t>
            </w:r>
            <w:r w:rsidRPr="00FB16C9">
              <w:rPr>
                <w:rFonts w:ascii="宋体" w:eastAsia="宋体" w:hAnsi="宋体" w:cs="宋体"/>
                <w:kern w:val="0"/>
                <w:sz w:val="24"/>
                <w:szCs w:val="24"/>
              </w:rPr>
              <w:t xml:space="preserve"> </w:t>
            </w:r>
          </w:p>
        </w:tc>
        <w:tc>
          <w:tcPr>
            <w:tcW w:w="5070" w:type="dxa"/>
            <w:gridSpan w:val="2"/>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进入全国前30%的一级学科</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proofErr w:type="gramStart"/>
            <w:r w:rsidRPr="00FB16C9">
              <w:rPr>
                <w:rFonts w:ascii="宋体" w:eastAsia="宋体" w:hAnsi="宋体" w:cs="宋体" w:hint="eastAsia"/>
                <w:kern w:val="0"/>
                <w:sz w:val="24"/>
                <w:szCs w:val="24"/>
              </w:rPr>
              <w:t>个</w:t>
            </w:r>
            <w:proofErr w:type="gramEnd"/>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52</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100</w:t>
            </w:r>
            <w:r w:rsidRPr="00FB16C9">
              <w:rPr>
                <w:rFonts w:ascii="宋体" w:eastAsia="宋体" w:hAnsi="宋体" w:cs="宋体"/>
                <w:kern w:val="0"/>
                <w:sz w:val="24"/>
                <w:szCs w:val="24"/>
              </w:rPr>
              <w:t xml:space="preserve"> </w:t>
            </w:r>
          </w:p>
        </w:tc>
      </w:tr>
      <w:tr w:rsidR="00FB16C9" w:rsidRPr="00FB16C9" w:rsidTr="00FB16C9">
        <w:trPr>
          <w:tblCellSpacing w:w="0" w:type="dxa"/>
          <w:jc w:val="center"/>
        </w:trPr>
        <w:tc>
          <w:tcPr>
            <w:tcW w:w="0" w:type="auto"/>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ind w:firstLine="105"/>
              <w:jc w:val="left"/>
              <w:rPr>
                <w:rFonts w:ascii="宋体" w:eastAsia="宋体" w:hAnsi="宋体" w:cs="宋体"/>
                <w:kern w:val="0"/>
                <w:sz w:val="24"/>
                <w:szCs w:val="24"/>
              </w:rPr>
            </w:pPr>
            <w:r w:rsidRPr="00FB16C9">
              <w:rPr>
                <w:rFonts w:ascii="宋体" w:eastAsia="宋体" w:hAnsi="宋体" w:cs="宋体" w:hint="eastAsia"/>
                <w:kern w:val="0"/>
                <w:sz w:val="24"/>
                <w:szCs w:val="24"/>
              </w:rPr>
              <w:t>11</w:t>
            </w:r>
            <w:r w:rsidRPr="00FB16C9">
              <w:rPr>
                <w:rFonts w:ascii="宋体" w:eastAsia="宋体" w:hAnsi="宋体" w:cs="宋体"/>
                <w:kern w:val="0"/>
                <w:sz w:val="24"/>
                <w:szCs w:val="24"/>
              </w:rPr>
              <w:t xml:space="preserve"> </w:t>
            </w:r>
          </w:p>
        </w:tc>
        <w:tc>
          <w:tcPr>
            <w:tcW w:w="5070" w:type="dxa"/>
            <w:gridSpan w:val="2"/>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综合实力进入全国百强的高校</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所</w:t>
            </w:r>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4</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10</w:t>
            </w:r>
            <w:r w:rsidRPr="00FB16C9">
              <w:rPr>
                <w:rFonts w:ascii="宋体" w:eastAsia="宋体" w:hAnsi="宋体" w:cs="宋体"/>
                <w:kern w:val="0"/>
                <w:sz w:val="24"/>
                <w:szCs w:val="24"/>
              </w:rPr>
              <w:t xml:space="preserve"> </w:t>
            </w:r>
          </w:p>
        </w:tc>
      </w:tr>
      <w:tr w:rsidR="00FB16C9" w:rsidRPr="00FB16C9" w:rsidTr="00FB16C9">
        <w:trPr>
          <w:tblCellSpacing w:w="0" w:type="dxa"/>
          <w:jc w:val="center"/>
        </w:trPr>
        <w:tc>
          <w:tcPr>
            <w:tcW w:w="0" w:type="auto"/>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ind w:firstLine="105"/>
              <w:jc w:val="left"/>
              <w:rPr>
                <w:rFonts w:ascii="宋体" w:eastAsia="宋体" w:hAnsi="宋体" w:cs="宋体"/>
                <w:kern w:val="0"/>
                <w:sz w:val="24"/>
                <w:szCs w:val="24"/>
              </w:rPr>
            </w:pPr>
            <w:r w:rsidRPr="00FB16C9">
              <w:rPr>
                <w:rFonts w:ascii="宋体" w:eastAsia="宋体" w:hAnsi="宋体" w:cs="宋体" w:hint="eastAsia"/>
                <w:kern w:val="0"/>
                <w:sz w:val="24"/>
                <w:szCs w:val="24"/>
              </w:rPr>
              <w:t>12</w:t>
            </w:r>
            <w:r w:rsidRPr="00FB16C9">
              <w:rPr>
                <w:rFonts w:ascii="宋体" w:eastAsia="宋体" w:hAnsi="宋体" w:cs="宋体"/>
                <w:kern w:val="0"/>
                <w:sz w:val="24"/>
                <w:szCs w:val="24"/>
              </w:rPr>
              <w:t xml:space="preserve"> </w:t>
            </w:r>
          </w:p>
        </w:tc>
        <w:tc>
          <w:tcPr>
            <w:tcW w:w="5070" w:type="dxa"/>
            <w:gridSpan w:val="2"/>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中国大学教育地区竞争力进入全国名次</w:t>
            </w:r>
            <w:r w:rsidRPr="00FB16C9">
              <w:rPr>
                <w:rFonts w:ascii="宋体" w:eastAsia="宋体" w:hAnsi="宋体" w:cs="宋体"/>
                <w:kern w:val="0"/>
                <w:sz w:val="24"/>
                <w:szCs w:val="24"/>
              </w:rPr>
              <w:t xml:space="preserve"> </w:t>
            </w:r>
          </w:p>
        </w:tc>
        <w:tc>
          <w:tcPr>
            <w:tcW w:w="99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名</w:t>
            </w:r>
            <w:r w:rsidRPr="00FB16C9">
              <w:rPr>
                <w:rFonts w:ascii="宋体" w:eastAsia="宋体" w:hAnsi="宋体" w:cs="宋体"/>
                <w:kern w:val="0"/>
                <w:sz w:val="24"/>
                <w:szCs w:val="24"/>
              </w:rPr>
              <w:t xml:space="preserve"> </w:t>
            </w:r>
          </w:p>
        </w:tc>
        <w:tc>
          <w:tcPr>
            <w:tcW w:w="114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9</w:t>
            </w:r>
            <w:r w:rsidRPr="00FB16C9">
              <w:rPr>
                <w:rFonts w:ascii="宋体" w:eastAsia="宋体" w:hAnsi="宋体" w:cs="宋体"/>
                <w:kern w:val="0"/>
                <w:sz w:val="24"/>
                <w:szCs w:val="24"/>
              </w:rPr>
              <w:t xml:space="preserve"> </w:t>
            </w:r>
          </w:p>
        </w:tc>
        <w:tc>
          <w:tcPr>
            <w:tcW w:w="1020" w:type="dxa"/>
            <w:tcBorders>
              <w:top w:val="single" w:sz="8" w:space="0" w:color="auto"/>
              <w:left w:val="single" w:sz="8" w:space="0" w:color="auto"/>
              <w:bottom w:val="single" w:sz="8" w:space="0" w:color="auto"/>
              <w:right w:val="single" w:sz="8" w:space="0" w:color="auto"/>
            </w:tcBorders>
            <w:vAlign w:val="center"/>
            <w:hideMark/>
          </w:tcPr>
          <w:p w:rsidR="00FB16C9" w:rsidRPr="00FB16C9" w:rsidRDefault="00FB16C9" w:rsidP="00FB16C9">
            <w:pPr>
              <w:widowControl/>
              <w:spacing w:before="100" w:beforeAutospacing="1" w:after="100" w:afterAutospacing="1"/>
              <w:jc w:val="center"/>
              <w:rPr>
                <w:rFonts w:ascii="宋体" w:eastAsia="宋体" w:hAnsi="宋体" w:cs="宋体"/>
                <w:kern w:val="0"/>
                <w:sz w:val="24"/>
                <w:szCs w:val="24"/>
              </w:rPr>
            </w:pPr>
            <w:r w:rsidRPr="00FB16C9">
              <w:rPr>
                <w:rFonts w:ascii="宋体" w:eastAsia="宋体" w:hAnsi="宋体" w:cs="宋体" w:hint="eastAsia"/>
                <w:kern w:val="0"/>
                <w:sz w:val="24"/>
                <w:szCs w:val="24"/>
              </w:rPr>
              <w:t>6</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jc w:val="left"/>
        <w:rPr>
          <w:rFonts w:ascii="宋体" w:eastAsia="宋体" w:hAnsi="宋体" w:cs="宋体"/>
          <w:kern w:val="0"/>
          <w:sz w:val="24"/>
          <w:szCs w:val="24"/>
        </w:rPr>
      </w:pPr>
      <w:r w:rsidRPr="00FB16C9">
        <w:rPr>
          <w:rFonts w:ascii="宋体" w:eastAsia="宋体" w:hAnsi="宋体" w:cs="宋体"/>
          <w:kern w:val="0"/>
          <w:sz w:val="24"/>
          <w:szCs w:val="24"/>
        </w:rPr>
        <w:t>注：</w:t>
      </w:r>
      <w:r w:rsidRPr="00FB16C9">
        <w:rPr>
          <w:rFonts w:ascii="宋体" w:eastAsia="宋体" w:hAnsi="宋体" w:cs="宋体" w:hint="eastAsia"/>
          <w:kern w:val="0"/>
          <w:sz w:val="24"/>
          <w:szCs w:val="24"/>
        </w:rPr>
        <w:t> </w:t>
      </w:r>
      <w:r w:rsidRPr="00FB16C9">
        <w:rPr>
          <w:rFonts w:ascii="宋体" w:eastAsia="宋体" w:hAnsi="宋体" w:cs="宋体"/>
          <w:kern w:val="0"/>
          <w:sz w:val="24"/>
          <w:szCs w:val="24"/>
        </w:rPr>
        <w:t>①高等教育</w:t>
      </w:r>
      <w:proofErr w:type="gramStart"/>
      <w:r w:rsidRPr="00FB16C9">
        <w:rPr>
          <w:rFonts w:ascii="宋体" w:eastAsia="宋体" w:hAnsi="宋体" w:cs="宋体"/>
          <w:kern w:val="0"/>
          <w:sz w:val="24"/>
          <w:szCs w:val="24"/>
        </w:rPr>
        <w:t>在学总</w:t>
      </w:r>
      <w:proofErr w:type="gramEnd"/>
      <w:r w:rsidRPr="00FB16C9">
        <w:rPr>
          <w:rFonts w:ascii="宋体" w:eastAsia="宋体" w:hAnsi="宋体" w:cs="宋体"/>
          <w:kern w:val="0"/>
          <w:sz w:val="24"/>
          <w:szCs w:val="24"/>
        </w:rPr>
        <w:t>规模：包括普通本专科在校生、成人本专科在校生、研究生在校生、</w:t>
      </w:r>
      <w:proofErr w:type="gramStart"/>
      <w:r w:rsidRPr="00FB16C9">
        <w:rPr>
          <w:rFonts w:ascii="宋体" w:eastAsia="宋体" w:hAnsi="宋体" w:cs="宋体"/>
          <w:kern w:val="0"/>
          <w:sz w:val="24"/>
          <w:szCs w:val="24"/>
        </w:rPr>
        <w:t>自考及网络</w:t>
      </w:r>
      <w:proofErr w:type="gramEnd"/>
      <w:r w:rsidRPr="00FB16C9">
        <w:rPr>
          <w:rFonts w:ascii="宋体" w:eastAsia="宋体" w:hAnsi="宋体" w:cs="宋体"/>
          <w:kern w:val="0"/>
          <w:sz w:val="24"/>
          <w:szCs w:val="24"/>
        </w:rPr>
        <w:t xml:space="preserve">本专科教育在学人数（自考毕业生、网络本专科在校生按一定系数折算）。 </w:t>
      </w:r>
    </w:p>
    <w:p w:rsidR="00FB16C9" w:rsidRPr="00FB16C9" w:rsidRDefault="00FB16C9" w:rsidP="00FB16C9">
      <w:pPr>
        <w:widowControl/>
        <w:spacing w:before="100" w:beforeAutospacing="1" w:after="100" w:afterAutospacing="1"/>
        <w:ind w:firstLine="480"/>
        <w:jc w:val="left"/>
        <w:rPr>
          <w:rFonts w:ascii="宋体" w:eastAsia="宋体" w:hAnsi="宋体" w:cs="宋体"/>
          <w:kern w:val="0"/>
          <w:sz w:val="24"/>
          <w:szCs w:val="24"/>
        </w:rPr>
      </w:pPr>
      <w:r w:rsidRPr="00FB16C9">
        <w:rPr>
          <w:rFonts w:ascii="宋体" w:eastAsia="宋体" w:hAnsi="宋体" w:cs="宋体" w:hint="eastAsia"/>
          <w:kern w:val="0"/>
          <w:sz w:val="24"/>
          <w:szCs w:val="24"/>
        </w:rPr>
        <w:t> </w:t>
      </w:r>
      <w:r w:rsidRPr="00FB16C9">
        <w:rPr>
          <w:rFonts w:ascii="宋体" w:eastAsia="宋体" w:hAnsi="宋体" w:cs="宋体"/>
          <w:kern w:val="0"/>
          <w:sz w:val="24"/>
          <w:szCs w:val="24"/>
        </w:rPr>
        <w:t xml:space="preserve">②高等教育在校生：包括普通本专科在校生、成人本专科在校生、研究生在校生。 </w:t>
      </w:r>
    </w:p>
    <w:p w:rsidR="00FB16C9" w:rsidRPr="00FB16C9" w:rsidRDefault="00FB16C9" w:rsidP="00FB16C9">
      <w:pPr>
        <w:widowControl/>
        <w:spacing w:before="100" w:beforeAutospacing="1" w:after="100" w:afterAutospacing="1"/>
        <w:ind w:firstLine="480"/>
        <w:jc w:val="left"/>
        <w:rPr>
          <w:rFonts w:ascii="宋体" w:eastAsia="宋体" w:hAnsi="宋体" w:cs="宋体"/>
          <w:kern w:val="0"/>
          <w:sz w:val="24"/>
          <w:szCs w:val="24"/>
        </w:rPr>
      </w:pPr>
      <w:r w:rsidRPr="00FB16C9">
        <w:rPr>
          <w:rFonts w:ascii="宋体" w:eastAsia="宋体" w:hAnsi="宋体" w:cs="宋体" w:hint="eastAsia"/>
          <w:kern w:val="0"/>
          <w:sz w:val="24"/>
          <w:szCs w:val="24"/>
        </w:rPr>
        <w:t> </w:t>
      </w:r>
      <w:r w:rsidRPr="00FB16C9">
        <w:rPr>
          <w:rFonts w:ascii="宋体" w:eastAsia="宋体" w:hAnsi="宋体" w:cs="宋体"/>
          <w:kern w:val="0"/>
          <w:sz w:val="24"/>
          <w:szCs w:val="24"/>
        </w:rPr>
        <w:t xml:space="preserve">③不含国外取得学历学位人员。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三、切实加强和改进育人工作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（一）坚持立德树人。</w:t>
      </w:r>
      <w:r w:rsidRPr="00FB16C9">
        <w:rPr>
          <w:rFonts w:ascii="宋体" w:eastAsia="宋体" w:hAnsi="宋体" w:cs="宋体"/>
          <w:kern w:val="0"/>
          <w:sz w:val="24"/>
          <w:szCs w:val="24"/>
        </w:rPr>
        <w:t>始终把德育工作放在首位，强化高校政治意识、政权意识、阵地意识，着力培养中国特色社会主义合格建设者、可靠接班人。加强学生理想信念教育和社会主义核心价值观教育，切实增强学生对中国特色社会主义的理论自信、道路自信、制度自信和文化自信。深入落实意识形态管理责任，严格课堂、论坛、讲座、网络等校园宣传文化阵地管理，牢牢把握校园意识形态工作主导权。坚持教育与宗教相分离，严禁在校园内开展任何形式的宗教活动。以</w:t>
      </w:r>
      <w:r w:rsidRPr="00FB16C9">
        <w:rPr>
          <w:rFonts w:ascii="宋体" w:eastAsia="宋体" w:hAnsi="宋体" w:cs="宋体"/>
          <w:kern w:val="0"/>
          <w:sz w:val="24"/>
          <w:szCs w:val="24"/>
        </w:rPr>
        <w:lastRenderedPageBreak/>
        <w:t>提高课堂教学的针对性和实效性为重点，全面深化高校思想政治理论课建设；以提升专业素养和职业能力为抓手，充分发挥辅导员、班主任</w:t>
      </w:r>
      <w:proofErr w:type="gramStart"/>
      <w:r w:rsidRPr="00FB16C9">
        <w:rPr>
          <w:rFonts w:ascii="宋体" w:eastAsia="宋体" w:hAnsi="宋体" w:cs="宋体"/>
          <w:kern w:val="0"/>
          <w:sz w:val="24"/>
          <w:szCs w:val="24"/>
        </w:rPr>
        <w:t>等思政工作</w:t>
      </w:r>
      <w:proofErr w:type="gramEnd"/>
      <w:r w:rsidRPr="00FB16C9">
        <w:rPr>
          <w:rFonts w:ascii="宋体" w:eastAsia="宋体" w:hAnsi="宋体" w:cs="宋体"/>
          <w:kern w:val="0"/>
          <w:sz w:val="24"/>
          <w:szCs w:val="24"/>
        </w:rPr>
        <w:t xml:space="preserve">队伍的育人作用；以学科伦理和职业素养教育为切入点，落实各学科专业教师和研究生导师在德育工作中的责任，确立育人为本、德育为先、能力为重、全面发展的育人观。加强思想道德和社会诚信教育、法治教育、国防教育。大力加强校园文化建设，突出中华优秀传统文化教育，全方位提升校园文化建设水平，充分发挥文化育人功能。强化实践教学，加强社会实践基地建设，深入实施“百校联百镇”“双百双进”工程，构建实践育人体系。坚持不懈地推进高校文明寝室建设，推广书院制，不断增强学生的自我教育、自我管理、自我服务意识和能力。 </w:t>
      </w: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b/>
                <w:bCs/>
                <w:kern w:val="0"/>
                <w:sz w:val="24"/>
                <w:szCs w:val="24"/>
              </w:rPr>
              <w:t>专栏1：加强高校德育工作</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深入实施思想政治理论</w:t>
            </w:r>
            <w:proofErr w:type="gramStart"/>
            <w:r w:rsidRPr="00FB16C9">
              <w:rPr>
                <w:rFonts w:ascii="宋体" w:eastAsia="宋体" w:hAnsi="宋体" w:cs="宋体" w:hint="eastAsia"/>
                <w:kern w:val="0"/>
                <w:sz w:val="24"/>
                <w:szCs w:val="24"/>
              </w:rPr>
              <w:t>课改革</w:t>
            </w:r>
            <w:proofErr w:type="gramEnd"/>
            <w:r w:rsidRPr="00FB16C9">
              <w:rPr>
                <w:rFonts w:ascii="宋体" w:eastAsia="宋体" w:hAnsi="宋体" w:cs="宋体" w:hint="eastAsia"/>
                <w:kern w:val="0"/>
                <w:sz w:val="24"/>
                <w:szCs w:val="24"/>
              </w:rPr>
              <w:t>方案。完善省编德育辅助教材体系，每年组织编写省情教学案例。加强实践教学，持续开展“百校联百镇”“双百双进”等活动，建设200个重点高校</w:t>
            </w:r>
            <w:proofErr w:type="gramStart"/>
            <w:r w:rsidRPr="00FB16C9">
              <w:rPr>
                <w:rFonts w:ascii="宋体" w:eastAsia="宋体" w:hAnsi="宋体" w:cs="宋体" w:hint="eastAsia"/>
                <w:kern w:val="0"/>
                <w:sz w:val="24"/>
                <w:szCs w:val="24"/>
              </w:rPr>
              <w:t>思政实践</w:t>
            </w:r>
            <w:proofErr w:type="gramEnd"/>
            <w:r w:rsidRPr="00FB16C9">
              <w:rPr>
                <w:rFonts w:ascii="宋体" w:eastAsia="宋体" w:hAnsi="宋体" w:cs="宋体" w:hint="eastAsia"/>
                <w:kern w:val="0"/>
                <w:sz w:val="24"/>
                <w:szCs w:val="24"/>
              </w:rPr>
              <w:t>教学基地，建设12个示范性马克思主义学院，努力实现本科高校马克思主义学院建设全覆盖。</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强化师资队伍建设，每年择优资助一批高校优秀中青年</w:t>
            </w:r>
            <w:proofErr w:type="gramStart"/>
            <w:r w:rsidRPr="00FB16C9">
              <w:rPr>
                <w:rFonts w:ascii="宋体" w:eastAsia="宋体" w:hAnsi="宋体" w:cs="宋体" w:hint="eastAsia"/>
                <w:kern w:val="0"/>
                <w:sz w:val="24"/>
                <w:szCs w:val="24"/>
              </w:rPr>
              <w:t>思政理论</w:t>
            </w:r>
            <w:proofErr w:type="gramEnd"/>
            <w:r w:rsidRPr="00FB16C9">
              <w:rPr>
                <w:rFonts w:ascii="宋体" w:eastAsia="宋体" w:hAnsi="宋体" w:cs="宋体" w:hint="eastAsia"/>
                <w:kern w:val="0"/>
                <w:sz w:val="24"/>
                <w:szCs w:val="24"/>
              </w:rPr>
              <w:t>课教师，系统培训500名</w:t>
            </w:r>
            <w:proofErr w:type="gramStart"/>
            <w:r w:rsidRPr="00FB16C9">
              <w:rPr>
                <w:rFonts w:ascii="宋体" w:eastAsia="宋体" w:hAnsi="宋体" w:cs="宋体" w:hint="eastAsia"/>
                <w:kern w:val="0"/>
                <w:sz w:val="24"/>
                <w:szCs w:val="24"/>
              </w:rPr>
              <w:t>思政理论</w:t>
            </w:r>
            <w:proofErr w:type="gramEnd"/>
            <w:r w:rsidRPr="00FB16C9">
              <w:rPr>
                <w:rFonts w:ascii="宋体" w:eastAsia="宋体" w:hAnsi="宋体" w:cs="宋体" w:hint="eastAsia"/>
                <w:kern w:val="0"/>
                <w:sz w:val="24"/>
                <w:szCs w:val="24"/>
              </w:rPr>
              <w:t>课教师、600名辅导员。</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整合心理健康教育资源，完善心理危机预警、干预和转介机制，在高校全面建立师生心理健康教育和心理危机干预体系。</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鼓励和支持更多的高校积极实施书院制管理，建立书院导师制，全面提升学生自我管理水平。</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（二）强化教学工作。</w:t>
      </w:r>
      <w:r w:rsidRPr="00FB16C9">
        <w:rPr>
          <w:rFonts w:ascii="宋体" w:eastAsia="宋体" w:hAnsi="宋体" w:cs="宋体"/>
          <w:kern w:val="0"/>
          <w:sz w:val="24"/>
          <w:szCs w:val="24"/>
        </w:rPr>
        <w:t>把从严管理与关心帮助贯穿始终，建立健全教授、副教授为本专科生授课、学生转专业、青年教师助讲培养等制度，引导教授、副教授更多承担本专科教学任务，提升青年教师教学水平。加强基层教学组织建设和教学资源建设，推进重点实验室等研究平台经常性向学生开放，促进科研与教学互动，注重将科研成果转化为教学内容。严格学生学业管理，深入推进校（院）</w:t>
      </w:r>
      <w:proofErr w:type="gramStart"/>
      <w:r w:rsidRPr="00FB16C9">
        <w:rPr>
          <w:rFonts w:ascii="宋体" w:eastAsia="宋体" w:hAnsi="宋体" w:cs="宋体"/>
          <w:kern w:val="0"/>
          <w:sz w:val="24"/>
          <w:szCs w:val="24"/>
        </w:rPr>
        <w:t>长教学述职</w:t>
      </w:r>
      <w:proofErr w:type="gramEnd"/>
      <w:r w:rsidRPr="00FB16C9">
        <w:rPr>
          <w:rFonts w:ascii="宋体" w:eastAsia="宋体" w:hAnsi="宋体" w:cs="宋体"/>
          <w:kern w:val="0"/>
          <w:sz w:val="24"/>
          <w:szCs w:val="24"/>
        </w:rPr>
        <w:t xml:space="preserve">评议、教学诊断巡查等工作。建立完善科学的教师教学评价体系和学生学习评价体系。 </w:t>
      </w: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b/>
                <w:bCs/>
                <w:kern w:val="0"/>
                <w:sz w:val="24"/>
                <w:szCs w:val="24"/>
              </w:rPr>
              <w:t>专栏2：高等教育教学质量计划</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全省建设30个省级高校教师教学发展示范中心。组织开展1600项省级教学改革研究。认定50所课堂教学创新示范校。全省建设100个省级重点建设实验教学示范中心。建设500门精品在线开放课程和优秀微课。</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（三）积极发展研究生教育。</w:t>
      </w:r>
      <w:r w:rsidRPr="00FB16C9">
        <w:rPr>
          <w:rFonts w:ascii="宋体" w:eastAsia="宋体" w:hAnsi="宋体" w:cs="宋体"/>
          <w:kern w:val="0"/>
          <w:sz w:val="24"/>
          <w:szCs w:val="24"/>
        </w:rPr>
        <w:t xml:space="preserve">统筹全日制与非全日制研究生教育协调发展，坚持同一标准，保证同等质量。健全研究生学位授权体系，根据浙江经济社会发展对高层次应用型人才的需求，重点发展专业学位研究生教育，加强专业学位研究生培养，促进研究生教育与社会发展需求相适应。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lastRenderedPageBreak/>
        <w:t>（四）积极探索建设各类教育相互衔接贯通的继续教育和终身教育框架制度。</w:t>
      </w:r>
      <w:r w:rsidRPr="00FB16C9">
        <w:rPr>
          <w:rFonts w:ascii="宋体" w:eastAsia="宋体" w:hAnsi="宋体" w:cs="宋体"/>
          <w:kern w:val="0"/>
          <w:sz w:val="24"/>
          <w:szCs w:val="24"/>
        </w:rPr>
        <w:t xml:space="preserve">适应学习型社会和终身教育体系建设需要，规范成人教育招生和办学秩序，改善成人教育教学保障条件，提升成人教育质量。依托广播电视大学开放教育系统，推进终身教育“学分银行”建设，建立面向全社会的终身学习个人账号和学分累积制度，使各类学历教育和社会培训有效衔接，形成各类学习成果的登记、认证、评估与转换机制，搭建人才成长“立交桥”，协同推进继续教育和终身教育发展。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（五）加强人才培养质量保障体系建设。</w:t>
      </w:r>
      <w:r w:rsidRPr="00FB16C9">
        <w:rPr>
          <w:rFonts w:ascii="宋体" w:eastAsia="宋体" w:hAnsi="宋体" w:cs="宋体"/>
          <w:kern w:val="0"/>
          <w:sz w:val="24"/>
          <w:szCs w:val="24"/>
        </w:rPr>
        <w:t xml:space="preserve">建立以高校自我评估为基础，以教学基本状态数据常态监测、国内外专业认证及评估为主要内容，政府、学校、专门机构和社会多元评价相结合的教学评估制度。深入开展本科高校教学审核性评估和高职院校人才培养工作评估，每年向社会发布高校教育教学质量报告。委托第三方每年开展高校毕业生就业及专业发展跟踪调查，发布“浙江省高校毕业生就业及专业发展调查报告”。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（六）实施教师教学激励计划。</w:t>
      </w:r>
      <w:r w:rsidRPr="00FB16C9">
        <w:rPr>
          <w:rFonts w:ascii="宋体" w:eastAsia="宋体" w:hAnsi="宋体" w:cs="宋体"/>
          <w:kern w:val="0"/>
          <w:sz w:val="24"/>
          <w:szCs w:val="24"/>
        </w:rPr>
        <w:t xml:space="preserve">强化教师教学工作责任，完善教师教学效果评价方法，实施教师教学激励计划，鼓励高校探索制订以教学效果为导向的薪酬分配办法。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四、分类推进高校、学科、专业建设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（一）统筹推进各类高校提升发展水平。</w:t>
      </w:r>
      <w:r w:rsidRPr="00FB16C9">
        <w:rPr>
          <w:rFonts w:ascii="宋体" w:eastAsia="宋体" w:hAnsi="宋体" w:cs="宋体"/>
          <w:kern w:val="0"/>
          <w:sz w:val="24"/>
          <w:szCs w:val="24"/>
        </w:rPr>
        <w:t>实施高水平大学建设计划。支持浙江大学和中国美术学院建设世界一流大学。</w:t>
      </w:r>
      <w:proofErr w:type="gramStart"/>
      <w:r w:rsidRPr="00FB16C9">
        <w:rPr>
          <w:rFonts w:ascii="宋体" w:eastAsia="宋体" w:hAnsi="宋体" w:cs="宋体"/>
          <w:kern w:val="0"/>
          <w:sz w:val="24"/>
          <w:szCs w:val="24"/>
        </w:rPr>
        <w:t>实施省</w:t>
      </w:r>
      <w:proofErr w:type="gramEnd"/>
      <w:r w:rsidRPr="00FB16C9">
        <w:rPr>
          <w:rFonts w:ascii="宋体" w:eastAsia="宋体" w:hAnsi="宋体" w:cs="宋体"/>
          <w:kern w:val="0"/>
          <w:sz w:val="24"/>
          <w:szCs w:val="24"/>
        </w:rPr>
        <w:t xml:space="preserve">重点高校建设计划，以提升水平为根本，强化目标导向、过程管理和实绩考核，扎实推进第一批省重点高校建设，争取早日启动实施第二批重点高校建设，力争若干所本科高校在全国同类型高校中处于前列。 </w:t>
      </w: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b/>
                <w:bCs/>
                <w:kern w:val="0"/>
                <w:sz w:val="24"/>
                <w:szCs w:val="24"/>
              </w:rPr>
              <w:t>专栏3：省重点高校建设计划</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按照育强扶特、滚动建设、动态调整的要求，以推进体制机制创新、推动优势特色学科发展、建设高素质教师队伍、深化教育教学改革、提升自主创新能力、提高国际合作与交流水平为主要建设内容，</w:t>
            </w:r>
            <w:proofErr w:type="gramStart"/>
            <w:r w:rsidRPr="00FB16C9">
              <w:rPr>
                <w:rFonts w:ascii="宋体" w:eastAsia="宋体" w:hAnsi="宋体" w:cs="宋体" w:hint="eastAsia"/>
                <w:kern w:val="0"/>
                <w:sz w:val="24"/>
                <w:szCs w:val="24"/>
              </w:rPr>
              <w:t>实施省</w:t>
            </w:r>
            <w:proofErr w:type="gramEnd"/>
            <w:r w:rsidRPr="00FB16C9">
              <w:rPr>
                <w:rFonts w:ascii="宋体" w:eastAsia="宋体" w:hAnsi="宋体" w:cs="宋体" w:hint="eastAsia"/>
                <w:kern w:val="0"/>
                <w:sz w:val="24"/>
                <w:szCs w:val="24"/>
              </w:rPr>
              <w:t>重点高校建设计划，第一批重点建设5所高校，早日启动第二批重点高校建设，到2020年，力争全省高等教育竞争力和综合实力进入全国前6位，10所左右本科高校在全国同类型高校中处于前列。</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促进普通本科高校加强应用型建设。坚持示范引领，推动更多普通本科高校加强应用型建设，把办学思路切实转到服务地方经济社会发展上来，转到产教融合校企合作上来，转到培养应用型和技术技能型人才上来，转到增强学生创新创业能力上来，全面提高高校服务区域经济社会发展和创新驱动发展的能力。到2020年，一批本科院校应用型建设走在全国同类院校前列。 </w:t>
      </w: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b/>
                <w:bCs/>
                <w:kern w:val="0"/>
                <w:sz w:val="24"/>
                <w:szCs w:val="24"/>
              </w:rPr>
              <w:t>专栏4：加强应用性高校建设</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推动更多</w:t>
            </w:r>
            <w:r w:rsidRPr="00FB16C9">
              <w:rPr>
                <w:rFonts w:ascii="宋体" w:eastAsia="宋体" w:hAnsi="宋体" w:cs="宋体" w:hint="eastAsia"/>
                <w:color w:val="333333"/>
                <w:kern w:val="0"/>
                <w:sz w:val="24"/>
                <w:szCs w:val="24"/>
              </w:rPr>
              <w:t>普通</w:t>
            </w:r>
            <w:r w:rsidRPr="00FB16C9">
              <w:rPr>
                <w:rFonts w:ascii="宋体" w:eastAsia="宋体" w:hAnsi="宋体" w:cs="宋体" w:hint="eastAsia"/>
                <w:kern w:val="0"/>
                <w:sz w:val="24"/>
                <w:szCs w:val="24"/>
              </w:rPr>
              <w:t>本科院校加强应用型建设，试点高校应用型专业</w:t>
            </w:r>
            <w:proofErr w:type="gramStart"/>
            <w:r w:rsidRPr="00FB16C9">
              <w:rPr>
                <w:rFonts w:ascii="宋体" w:eastAsia="宋体" w:hAnsi="宋体" w:cs="宋体" w:hint="eastAsia"/>
                <w:kern w:val="0"/>
                <w:sz w:val="24"/>
                <w:szCs w:val="24"/>
              </w:rPr>
              <w:t>占专业数</w:t>
            </w:r>
            <w:proofErr w:type="gramEnd"/>
            <w:r w:rsidRPr="00FB16C9">
              <w:rPr>
                <w:rFonts w:ascii="宋体" w:eastAsia="宋体" w:hAnsi="宋体" w:cs="宋体" w:hint="eastAsia"/>
                <w:kern w:val="0"/>
                <w:sz w:val="24"/>
                <w:szCs w:val="24"/>
              </w:rPr>
              <w:t>的70%以</w:t>
            </w:r>
            <w:r w:rsidRPr="00FB16C9">
              <w:rPr>
                <w:rFonts w:ascii="宋体" w:eastAsia="宋体" w:hAnsi="宋体" w:cs="宋体" w:hint="eastAsia"/>
                <w:kern w:val="0"/>
                <w:sz w:val="24"/>
                <w:szCs w:val="24"/>
              </w:rPr>
              <w:lastRenderedPageBreak/>
              <w:t>上，在应用型专业中就读的学生占在校生数的80%以上，前8位应用型专业就读学生占在校生数的30%以上。2016年先遴选10所左右高校进行示范性院校建设。到2020年建成省应用型示范院校20所，其中若干所成为全国应用型示范高校。</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lastRenderedPageBreak/>
        <w:t>实施高职优质暨重点院校建设工程。以满足我省主导产业、支柱产业、战略性新兴产业等一线高素质人才培养需求为目标，支持</w:t>
      </w:r>
      <w:proofErr w:type="gramStart"/>
      <w:r w:rsidRPr="00FB16C9">
        <w:rPr>
          <w:rFonts w:ascii="宋体" w:eastAsia="宋体" w:hAnsi="宋体" w:cs="宋体"/>
          <w:kern w:val="0"/>
          <w:sz w:val="24"/>
          <w:szCs w:val="24"/>
        </w:rPr>
        <w:t>一</w:t>
      </w:r>
      <w:proofErr w:type="gramEnd"/>
      <w:r w:rsidRPr="00FB16C9">
        <w:rPr>
          <w:rFonts w:ascii="宋体" w:eastAsia="宋体" w:hAnsi="宋体" w:cs="宋体"/>
          <w:kern w:val="0"/>
          <w:sz w:val="24"/>
          <w:szCs w:val="24"/>
        </w:rPr>
        <w:t xml:space="preserve">批办学基础好、服务能力强、与地方发展需要契合度高的高职院校建设优质院校。在此基础上，选择若干所优势特色鲜明、改革意愿强烈且有明显成效的院校进行重点建设。 </w:t>
      </w: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b/>
                <w:bCs/>
                <w:kern w:val="0"/>
                <w:sz w:val="24"/>
                <w:szCs w:val="24"/>
              </w:rPr>
              <w:t>专栏5：优质暨重点高职院校建设工程</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建设20所优质高职院校。在此基础上，遴选5所高职院校进行重点建设。加强高职专业带头人和骨干教师队伍建设，培育300名在国内同专业领域有较大影响力的高职名师。</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（二）加强学科专业建设。</w:t>
      </w:r>
      <w:r w:rsidRPr="00FB16C9">
        <w:rPr>
          <w:rFonts w:ascii="宋体" w:eastAsia="宋体" w:hAnsi="宋体" w:cs="宋体"/>
          <w:kern w:val="0"/>
          <w:sz w:val="24"/>
          <w:szCs w:val="24"/>
        </w:rPr>
        <w:t xml:space="preserve">实施“一流学科建设工程”。瞄准学术前沿，聚焦国内一流，对接区域经济发展，统筹学校内外部资源，以一级学科为单位，重点支持建设一批有望成为国内领先、国际先进的学科，择优培育一批对接重大发展战略、有跻身国内先进行列基础的学科。到2020年，有40个左右学科进入全国前10%、100个左右学科进入全国前30%，争取省属高校ESI前1‰取得突破，一批学科进入ESI全球前1%，若干学科名列全国前3位。 </w:t>
      </w: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b/>
                <w:bCs/>
                <w:kern w:val="0"/>
                <w:sz w:val="24"/>
                <w:szCs w:val="24"/>
              </w:rPr>
              <w:t>专栏6：一流学科建设工程</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重点建设与“中国制造2025”“互联网+”“一带一路”等国家重大战略以及信息、环保、健康、旅游、时尚、新金融、高端装备制造等七大万亿产业、高新技术产业、现代农业、现代服务业密切相关的学科，包括扶持建设一批哲学社会科学学科。争取着眼5年建成100个左右A类一流学科，同时着眼10—15年建设230个左右B类一流学科。</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加强专业建设。落实高校专业设置自主权，引导高校科学制订专业发展规划，建立和完善与需求紧密联系的专业动态调整机制，切实加强应用型专业建设，坚决调整压缩低水平重复建设专业，扶持发展社会必需但又相对长线与冷门的基础科学领域专业以及哲学人文社会科学领域的专业。重点遴选建设一批优势特色专业，做大做强经济社会发展急需的专业，强化专业与产业、专业与社会发展、专业与就业的结合，大力培养经济社会所需的各类人才，尤其是创新型应用型人才，提高人才培养与经济社会发展契合度。 </w:t>
      </w: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b/>
                <w:bCs/>
                <w:kern w:val="0"/>
                <w:sz w:val="24"/>
                <w:szCs w:val="24"/>
              </w:rPr>
              <w:t>专栏7：优势特色专业建设计划</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412"/>
              <w:rPr>
                <w:rFonts w:ascii="宋体" w:eastAsia="宋体" w:hAnsi="宋体" w:cs="宋体"/>
                <w:kern w:val="0"/>
                <w:sz w:val="24"/>
                <w:szCs w:val="24"/>
              </w:rPr>
            </w:pPr>
            <w:r w:rsidRPr="00FB16C9">
              <w:rPr>
                <w:rFonts w:ascii="宋体" w:eastAsia="宋体" w:hAnsi="宋体" w:cs="宋体" w:hint="eastAsia"/>
                <w:kern w:val="0"/>
                <w:sz w:val="24"/>
                <w:szCs w:val="24"/>
              </w:rPr>
              <w:t>面向本科院校和高职高专院校分别建设150个优势专业、200个特色专业，进一步培育和凝练专业特色，深化教学改革，强化领先优势。到2020年，一批专业达到全国一流水平，若干专业在国际上有一定影响力。</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lastRenderedPageBreak/>
        <w:t>（三）主动积极地服务创新驱动发展战略。</w:t>
      </w:r>
      <w:r w:rsidRPr="00FB16C9">
        <w:rPr>
          <w:rFonts w:ascii="宋体" w:eastAsia="宋体" w:hAnsi="宋体" w:cs="宋体"/>
          <w:kern w:val="0"/>
          <w:sz w:val="24"/>
          <w:szCs w:val="24"/>
        </w:rPr>
        <w:t xml:space="preserve">深入推进高校协同创新中心建设（2011计划）。以重大需求为导向，坚持“高起点、高水准、有特色”，大力推进高校与科研院所、行业企业、地方政府以及高校与高校协同发展，重点支持建设具备良好体制机制改革基础且成效明显的协同创新中心，为我省实施创新驱动发展战略提供更强有力的人才与科技支撑。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积极构建政产学研合作平台。充分发挥高校学科、科技、人才优势，积极参与杭州</w:t>
      </w:r>
      <w:proofErr w:type="gramStart"/>
      <w:r w:rsidRPr="00FB16C9">
        <w:rPr>
          <w:rFonts w:ascii="宋体" w:eastAsia="宋体" w:hAnsi="宋体" w:cs="宋体"/>
          <w:kern w:val="0"/>
          <w:sz w:val="24"/>
          <w:szCs w:val="24"/>
        </w:rPr>
        <w:t>城西科创</w:t>
      </w:r>
      <w:proofErr w:type="gramEnd"/>
      <w:r w:rsidRPr="00FB16C9">
        <w:rPr>
          <w:rFonts w:ascii="宋体" w:eastAsia="宋体" w:hAnsi="宋体" w:cs="宋体"/>
          <w:kern w:val="0"/>
          <w:sz w:val="24"/>
          <w:szCs w:val="24"/>
        </w:rPr>
        <w:t xml:space="preserve">大走廊和省内各类高新产业园区、产业集聚区建设，组建各类服务主导产业、产业集聚区、特色小镇等的产学研联盟和技术研发平台，主动为地方、企业提供更优质服务。大力推进以科学技术重大命题为纽带的跨学校跨学科研究，多形式参与大产业、大企业、大平台、大项目建设，提高高校解决实际问题的能力与水平。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加快推进高校科技成果转化。扩大高校科技成果使用、处置和收益权，简化高校科技成果转化流程，积极探索建立市场化的科研成果转化机制。加大高校科技经纪人队伍建设，引导高校完善科技成果激励机制，建立和完善与绩效挂钩、鼓励创新创造的分配激励政策。加强国家级、省级大学科技园建设，使大学科技园成为成果孵化和创新创业的重要基地。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推进高校哲学社会科学繁荣发展。以浙江经济社会发展面临的重大问题为导向，深化高校哲学社会科学领域综合改革，实施“浙江省高校哲学社会科学繁荣计划”和“浙江省高校重大人文社科攻关计划”，加强高校哲学社会科学的基础性研究和应用性研究，推进研究成果的转化应用，为政府和行业、企业提供战略咨询服务和决策依据。推进高校</w:t>
      </w:r>
      <w:proofErr w:type="gramStart"/>
      <w:r w:rsidRPr="00FB16C9">
        <w:rPr>
          <w:rFonts w:ascii="宋体" w:eastAsia="宋体" w:hAnsi="宋体" w:cs="宋体"/>
          <w:kern w:val="0"/>
          <w:sz w:val="24"/>
          <w:szCs w:val="24"/>
        </w:rPr>
        <w:t>新型智库</w:t>
      </w:r>
      <w:proofErr w:type="gramEnd"/>
      <w:r w:rsidRPr="00FB16C9">
        <w:rPr>
          <w:rFonts w:ascii="宋体" w:eastAsia="宋体" w:hAnsi="宋体" w:cs="宋体"/>
          <w:kern w:val="0"/>
          <w:sz w:val="24"/>
          <w:szCs w:val="24"/>
        </w:rPr>
        <w:t>建设，创新组织形式，整合优质资源，着力打造一批特色鲜明、高水平的</w:t>
      </w:r>
      <w:proofErr w:type="gramStart"/>
      <w:r w:rsidRPr="00FB16C9">
        <w:rPr>
          <w:rFonts w:ascii="宋体" w:eastAsia="宋体" w:hAnsi="宋体" w:cs="宋体"/>
          <w:kern w:val="0"/>
          <w:sz w:val="24"/>
          <w:szCs w:val="24"/>
        </w:rPr>
        <w:t>新型智库</w:t>
      </w:r>
      <w:proofErr w:type="gramEnd"/>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完善科研活动及成果评价管理制度。根据不同类型科技活动特点，积极探索建立导向明确、激励规范的分类评价标准和开放评价机制，并将评价结果作为资源配置的重要依据。着力破解科技投入产出不匹配、产学研用结合不紧密、评价考核科技成果的标准不科学、科技创新的体制机制不适应等“四不”难题。 </w:t>
      </w: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b/>
                <w:bCs/>
                <w:kern w:val="0"/>
                <w:sz w:val="24"/>
                <w:szCs w:val="24"/>
              </w:rPr>
              <w:t>专栏8：协同创新行动计划</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按照建设国家级、省级、校级三级协同创新中心体系要求，建设50个左右省级“2011协同创新中心”，积极支持有条件的高校申报认定国家“2011协同创新中心”。</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b/>
                <w:bCs/>
                <w:kern w:val="0"/>
                <w:sz w:val="24"/>
                <w:szCs w:val="24"/>
              </w:rPr>
              <w:t>专栏9：浙江省高校哲学社会科学繁荣计划</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422"/>
              <w:jc w:val="left"/>
              <w:rPr>
                <w:rFonts w:ascii="宋体" w:eastAsia="宋体" w:hAnsi="宋体" w:cs="宋体"/>
                <w:kern w:val="0"/>
                <w:sz w:val="24"/>
                <w:szCs w:val="24"/>
              </w:rPr>
            </w:pPr>
            <w:r w:rsidRPr="00FB16C9">
              <w:rPr>
                <w:rFonts w:ascii="宋体" w:eastAsia="宋体" w:hAnsi="宋体" w:cs="宋体" w:hint="eastAsia"/>
                <w:b/>
                <w:bCs/>
                <w:kern w:val="0"/>
                <w:sz w:val="24"/>
                <w:szCs w:val="24"/>
              </w:rPr>
              <w:t>重大人文社科攻关计划：</w:t>
            </w:r>
            <w:r w:rsidRPr="00FB16C9">
              <w:rPr>
                <w:rFonts w:ascii="宋体" w:eastAsia="宋体" w:hAnsi="宋体" w:cs="宋体" w:hint="eastAsia"/>
                <w:kern w:val="0"/>
                <w:sz w:val="24"/>
                <w:szCs w:val="24"/>
              </w:rPr>
              <w:t>加强基础性研究，强化应用研究，鼓励政策研究，推动哲学社会科学研究成果的转化应用，每年设立30项</w:t>
            </w:r>
            <w:proofErr w:type="gramStart"/>
            <w:r w:rsidRPr="00FB16C9">
              <w:rPr>
                <w:rFonts w:ascii="宋体" w:eastAsia="宋体" w:hAnsi="宋体" w:cs="宋体" w:hint="eastAsia"/>
                <w:kern w:val="0"/>
                <w:sz w:val="24"/>
                <w:szCs w:val="24"/>
              </w:rPr>
              <w:t>左右重大</w:t>
            </w:r>
            <w:proofErr w:type="gramEnd"/>
            <w:r w:rsidRPr="00FB16C9">
              <w:rPr>
                <w:rFonts w:ascii="宋体" w:eastAsia="宋体" w:hAnsi="宋体" w:cs="宋体" w:hint="eastAsia"/>
                <w:kern w:val="0"/>
                <w:sz w:val="24"/>
                <w:szCs w:val="24"/>
              </w:rPr>
              <w:t>专项，80项左右青年专项，重点培养一批功底扎实、勇于创新的学术带头人，提高我省高校哲</w:t>
            </w:r>
            <w:r w:rsidRPr="00FB16C9">
              <w:rPr>
                <w:rFonts w:ascii="宋体" w:eastAsia="宋体" w:hAnsi="宋体" w:cs="宋体" w:hint="eastAsia"/>
                <w:kern w:val="0"/>
                <w:sz w:val="24"/>
                <w:szCs w:val="24"/>
              </w:rPr>
              <w:lastRenderedPageBreak/>
              <w:t>学社会科学研究在全国的影响力和对经济社会发展的贡献度。</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422"/>
              <w:jc w:val="left"/>
              <w:rPr>
                <w:rFonts w:ascii="宋体" w:eastAsia="宋体" w:hAnsi="宋体" w:cs="宋体"/>
                <w:kern w:val="0"/>
                <w:sz w:val="24"/>
                <w:szCs w:val="24"/>
              </w:rPr>
            </w:pPr>
            <w:r w:rsidRPr="00FB16C9">
              <w:rPr>
                <w:rFonts w:ascii="宋体" w:eastAsia="宋体" w:hAnsi="宋体" w:cs="宋体" w:hint="eastAsia"/>
                <w:b/>
                <w:bCs/>
                <w:kern w:val="0"/>
                <w:sz w:val="24"/>
                <w:szCs w:val="24"/>
              </w:rPr>
              <w:t>高校</w:t>
            </w:r>
            <w:proofErr w:type="gramStart"/>
            <w:r w:rsidRPr="00FB16C9">
              <w:rPr>
                <w:rFonts w:ascii="宋体" w:eastAsia="宋体" w:hAnsi="宋体" w:cs="宋体" w:hint="eastAsia"/>
                <w:b/>
                <w:bCs/>
                <w:kern w:val="0"/>
                <w:sz w:val="24"/>
                <w:szCs w:val="24"/>
              </w:rPr>
              <w:t>新型智库</w:t>
            </w:r>
            <w:proofErr w:type="gramEnd"/>
            <w:r w:rsidRPr="00FB16C9">
              <w:rPr>
                <w:rFonts w:ascii="宋体" w:eastAsia="宋体" w:hAnsi="宋体" w:cs="宋体" w:hint="eastAsia"/>
                <w:b/>
                <w:bCs/>
                <w:kern w:val="0"/>
                <w:sz w:val="24"/>
                <w:szCs w:val="24"/>
              </w:rPr>
              <w:t>建设工程：</w:t>
            </w:r>
            <w:r w:rsidRPr="00FB16C9">
              <w:rPr>
                <w:rFonts w:ascii="宋体" w:eastAsia="宋体" w:hAnsi="宋体" w:cs="宋体" w:hint="eastAsia"/>
                <w:kern w:val="0"/>
                <w:sz w:val="24"/>
                <w:szCs w:val="24"/>
              </w:rPr>
              <w:t>瞄准我省经济社会发展战略和重大问题，整合优质资源，建设30个左右新型高校智库。</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lastRenderedPageBreak/>
        <w:t xml:space="preserve">五、大力深化改革开放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（一）切实转变政府职能，完善现代高等教育治理体系。</w:t>
      </w:r>
      <w:r w:rsidRPr="00FB16C9">
        <w:rPr>
          <w:rFonts w:ascii="宋体" w:eastAsia="宋体" w:hAnsi="宋体" w:cs="宋体"/>
          <w:kern w:val="0"/>
          <w:sz w:val="24"/>
          <w:szCs w:val="24"/>
        </w:rPr>
        <w:t>推进“管办评”分离改革。坚持依法行政，依法治校。明晰政府与高校在促进高等教育改革发展中的权力与责任。优化政府管理体制，把政府对高校的管理着力转到以规划为引领，以政策为导向，以第三方评价为依据，以资源配置为调控手段上来。支持高校根据办学定位和经济社会发展要求，优化内部管理机制，增强办学特色，提升办学活力。探索对高校实行“责任清单”和“负面清单”管理。充分调动社会各方积极性，培育和引进第三</w:t>
      </w:r>
      <w:proofErr w:type="gramStart"/>
      <w:r w:rsidRPr="00FB16C9">
        <w:rPr>
          <w:rFonts w:ascii="宋体" w:eastAsia="宋体" w:hAnsi="宋体" w:cs="宋体"/>
          <w:kern w:val="0"/>
          <w:sz w:val="24"/>
          <w:szCs w:val="24"/>
        </w:rPr>
        <w:t>方专业</w:t>
      </w:r>
      <w:proofErr w:type="gramEnd"/>
      <w:r w:rsidRPr="00FB16C9">
        <w:rPr>
          <w:rFonts w:ascii="宋体" w:eastAsia="宋体" w:hAnsi="宋体" w:cs="宋体"/>
          <w:kern w:val="0"/>
          <w:sz w:val="24"/>
          <w:szCs w:val="24"/>
        </w:rPr>
        <w:t xml:space="preserve">评价、评估和服务机构，建立健全督政、督学和评估监测三位一体的高等教育督导体系，全面构建政府、学校、社会多方参与、有序高效的教育治理模式。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加强现代大学制度建设。以大学章程为基础，深化高校内部管理体制改革，完善大学内部行政权力与学术权力运行机制，积极发挥学术委员会在学科建设、学术评价、学风建设中的重要作用，发挥好教代会、学代会的民主监督作用。探索建立高校理事会或董事会，建立健全社会支持和监督学校发展的长效机制。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（二）引导学校准确定位，完善高校分类发展与评价体系。</w:t>
      </w:r>
      <w:r w:rsidRPr="00FB16C9">
        <w:rPr>
          <w:rFonts w:ascii="宋体" w:eastAsia="宋体" w:hAnsi="宋体" w:cs="宋体"/>
          <w:kern w:val="0"/>
          <w:sz w:val="24"/>
          <w:szCs w:val="24"/>
        </w:rPr>
        <w:t xml:space="preserve">按照政府引导、高校自主、社会评价的方式建立和完善高校“二维分类”发展及评价体系，即从综合性、多科性和研究为主型、教学研究型、教学为主型两个维度出发，制订分类评价、分类考核、分类激励标准，优化财政投入和资源配置办法，引导不同类型、不同层次的高校准确定位，办出特色，争创一流。 </w:t>
      </w: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b/>
                <w:bCs/>
                <w:kern w:val="0"/>
                <w:sz w:val="24"/>
                <w:szCs w:val="24"/>
              </w:rPr>
              <w:t>专栏10：高校分类发展结构</w:t>
            </w:r>
            <w:r w:rsidRPr="00FB16C9">
              <w:rPr>
                <w:rFonts w:ascii="宋体" w:eastAsia="宋体" w:hAnsi="宋体" w:cs="宋体"/>
                <w:kern w:val="0"/>
                <w:sz w:val="24"/>
                <w:szCs w:val="24"/>
              </w:rPr>
              <w:t xml:space="preserve"> </w:t>
            </w:r>
          </w:p>
          <w:tbl>
            <w:tblPr>
              <w:tblW w:w="7371" w:type="dxa"/>
              <w:tblCellSpacing w:w="0" w:type="dxa"/>
              <w:tblCellMar>
                <w:left w:w="0" w:type="dxa"/>
                <w:right w:w="0" w:type="dxa"/>
              </w:tblCellMar>
              <w:tblLook w:val="04A0" w:firstRow="1" w:lastRow="0" w:firstColumn="1" w:lastColumn="0" w:noHBand="0" w:noVBand="1"/>
            </w:tblPr>
            <w:tblGrid>
              <w:gridCol w:w="2127"/>
              <w:gridCol w:w="2697"/>
              <w:gridCol w:w="2547"/>
            </w:tblGrid>
            <w:tr w:rsidR="00FB16C9" w:rsidRPr="00FB16C9">
              <w:trPr>
                <w:tblCellSpacing w:w="0" w:type="dxa"/>
              </w:trPr>
              <w:tc>
                <w:tcPr>
                  <w:tcW w:w="2130" w:type="dxa"/>
                  <w:tcBorders>
                    <w:top w:val="single" w:sz="8" w:space="0" w:color="auto"/>
                    <w:left w:val="single" w:sz="8" w:space="0" w:color="auto"/>
                    <w:bottom w:val="single" w:sz="8" w:space="0" w:color="auto"/>
                    <w:right w:val="single" w:sz="8" w:space="0" w:color="auto"/>
                  </w:tcBorders>
                  <w:vAlign w:val="bottom"/>
                  <w:hideMark/>
                </w:tcPr>
                <w:p w:rsidR="00FB16C9" w:rsidRPr="00FB16C9" w:rsidRDefault="00FB16C9" w:rsidP="00FB16C9">
                  <w:pPr>
                    <w:widowControl/>
                    <w:jc w:val="left"/>
                    <w:rPr>
                      <w:rFonts w:ascii="宋体" w:eastAsia="宋体" w:hAnsi="宋体" w:cs="宋体"/>
                      <w:kern w:val="0"/>
                      <w:sz w:val="24"/>
                      <w:szCs w:val="24"/>
                    </w:rPr>
                  </w:pPr>
                </w:p>
              </w:tc>
              <w:tc>
                <w:tcPr>
                  <w:tcW w:w="2700" w:type="dxa"/>
                  <w:tcBorders>
                    <w:top w:val="single" w:sz="8" w:space="0" w:color="auto"/>
                    <w:left w:val="single" w:sz="8" w:space="0" w:color="auto"/>
                    <w:bottom w:val="single" w:sz="8" w:space="0" w:color="auto"/>
                    <w:right w:val="single" w:sz="8" w:space="0" w:color="auto"/>
                  </w:tcBorders>
                  <w:vAlign w:val="bottom"/>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kern w:val="0"/>
                      <w:sz w:val="24"/>
                      <w:szCs w:val="24"/>
                    </w:rPr>
                    <w:t>综合性</w:t>
                  </w:r>
                  <w:r w:rsidRPr="00FB16C9">
                    <w:rPr>
                      <w:rFonts w:ascii="宋体" w:eastAsia="宋体" w:hAnsi="宋体" w:cs="宋体"/>
                      <w:kern w:val="0"/>
                      <w:sz w:val="24"/>
                      <w:szCs w:val="24"/>
                    </w:rPr>
                    <w:t xml:space="preserve"> </w:t>
                  </w:r>
                </w:p>
              </w:tc>
              <w:tc>
                <w:tcPr>
                  <w:tcW w:w="2550" w:type="dxa"/>
                  <w:tcBorders>
                    <w:top w:val="single" w:sz="8" w:space="0" w:color="auto"/>
                    <w:left w:val="single" w:sz="8" w:space="0" w:color="auto"/>
                    <w:bottom w:val="single" w:sz="8" w:space="0" w:color="auto"/>
                    <w:right w:val="single" w:sz="8" w:space="0" w:color="auto"/>
                  </w:tcBorders>
                  <w:vAlign w:val="bottom"/>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kern w:val="0"/>
                      <w:sz w:val="24"/>
                      <w:szCs w:val="24"/>
                    </w:rPr>
                    <w:t>多科性</w:t>
                  </w:r>
                  <w:r w:rsidRPr="00FB16C9">
                    <w:rPr>
                      <w:rFonts w:ascii="宋体" w:eastAsia="宋体" w:hAnsi="宋体" w:cs="宋体"/>
                      <w:kern w:val="0"/>
                      <w:sz w:val="24"/>
                      <w:szCs w:val="24"/>
                    </w:rPr>
                    <w:t xml:space="preserve"> </w:t>
                  </w:r>
                </w:p>
              </w:tc>
            </w:tr>
            <w:tr w:rsidR="00FB16C9" w:rsidRPr="00FB16C9">
              <w:trPr>
                <w:tblCellSpacing w:w="0" w:type="dxa"/>
              </w:trPr>
              <w:tc>
                <w:tcPr>
                  <w:tcW w:w="2130" w:type="dxa"/>
                  <w:tcBorders>
                    <w:top w:val="single" w:sz="8" w:space="0" w:color="auto"/>
                    <w:left w:val="single" w:sz="8" w:space="0" w:color="auto"/>
                    <w:bottom w:val="single" w:sz="8" w:space="0" w:color="auto"/>
                    <w:right w:val="single" w:sz="8" w:space="0" w:color="auto"/>
                  </w:tcBorders>
                  <w:vAlign w:val="bottom"/>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kern w:val="0"/>
                      <w:sz w:val="24"/>
                      <w:szCs w:val="24"/>
                    </w:rPr>
                    <w:t>研究为主型</w:t>
                  </w:r>
                  <w:r w:rsidRPr="00FB16C9">
                    <w:rPr>
                      <w:rFonts w:ascii="宋体" w:eastAsia="宋体" w:hAnsi="宋体" w:cs="宋体"/>
                      <w:kern w:val="0"/>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bottom"/>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kern w:val="0"/>
                      <w:sz w:val="24"/>
                      <w:szCs w:val="24"/>
                    </w:rPr>
                    <w:t>综合性研究为主型高校</w:t>
                  </w:r>
                  <w:r w:rsidRPr="00FB16C9">
                    <w:rPr>
                      <w:rFonts w:ascii="宋体" w:eastAsia="宋体" w:hAnsi="宋体" w:cs="宋体"/>
                      <w:kern w:val="0"/>
                      <w:sz w:val="24"/>
                      <w:szCs w:val="24"/>
                    </w:rPr>
                    <w:t xml:space="preserve"> </w:t>
                  </w:r>
                </w:p>
              </w:tc>
              <w:tc>
                <w:tcPr>
                  <w:tcW w:w="2550" w:type="dxa"/>
                  <w:tcBorders>
                    <w:top w:val="single" w:sz="8" w:space="0" w:color="auto"/>
                    <w:left w:val="single" w:sz="8" w:space="0" w:color="auto"/>
                    <w:bottom w:val="single" w:sz="8" w:space="0" w:color="auto"/>
                    <w:right w:val="single" w:sz="8" w:space="0" w:color="auto"/>
                  </w:tcBorders>
                  <w:vAlign w:val="bottom"/>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kern w:val="0"/>
                      <w:sz w:val="24"/>
                      <w:szCs w:val="24"/>
                    </w:rPr>
                    <w:t>多科性研究为主型高校</w:t>
                  </w:r>
                  <w:r w:rsidRPr="00FB16C9">
                    <w:rPr>
                      <w:rFonts w:ascii="宋体" w:eastAsia="宋体" w:hAnsi="宋体" w:cs="宋体"/>
                      <w:kern w:val="0"/>
                      <w:sz w:val="24"/>
                      <w:szCs w:val="24"/>
                    </w:rPr>
                    <w:t xml:space="preserve"> </w:t>
                  </w:r>
                </w:p>
              </w:tc>
            </w:tr>
            <w:tr w:rsidR="00FB16C9" w:rsidRPr="00FB16C9">
              <w:trPr>
                <w:tblCellSpacing w:w="0" w:type="dxa"/>
              </w:trPr>
              <w:tc>
                <w:tcPr>
                  <w:tcW w:w="2130" w:type="dxa"/>
                  <w:tcBorders>
                    <w:top w:val="single" w:sz="8" w:space="0" w:color="auto"/>
                    <w:left w:val="single" w:sz="8" w:space="0" w:color="auto"/>
                    <w:bottom w:val="single" w:sz="8" w:space="0" w:color="auto"/>
                    <w:right w:val="single" w:sz="8" w:space="0" w:color="auto"/>
                  </w:tcBorders>
                  <w:vAlign w:val="bottom"/>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kern w:val="0"/>
                      <w:sz w:val="24"/>
                      <w:szCs w:val="24"/>
                    </w:rPr>
                    <w:t>教学研究型</w:t>
                  </w:r>
                  <w:r w:rsidRPr="00FB16C9">
                    <w:rPr>
                      <w:rFonts w:ascii="宋体" w:eastAsia="宋体" w:hAnsi="宋体" w:cs="宋体"/>
                      <w:kern w:val="0"/>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bottom"/>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kern w:val="0"/>
                      <w:sz w:val="24"/>
                      <w:szCs w:val="24"/>
                    </w:rPr>
                    <w:t>综合性教学研究型高校</w:t>
                  </w:r>
                  <w:r w:rsidRPr="00FB16C9">
                    <w:rPr>
                      <w:rFonts w:ascii="宋体" w:eastAsia="宋体" w:hAnsi="宋体" w:cs="宋体"/>
                      <w:kern w:val="0"/>
                      <w:sz w:val="24"/>
                      <w:szCs w:val="24"/>
                    </w:rPr>
                    <w:t xml:space="preserve"> </w:t>
                  </w:r>
                </w:p>
              </w:tc>
              <w:tc>
                <w:tcPr>
                  <w:tcW w:w="2550" w:type="dxa"/>
                  <w:tcBorders>
                    <w:top w:val="single" w:sz="8" w:space="0" w:color="auto"/>
                    <w:left w:val="single" w:sz="8" w:space="0" w:color="auto"/>
                    <w:bottom w:val="single" w:sz="8" w:space="0" w:color="auto"/>
                    <w:right w:val="single" w:sz="8" w:space="0" w:color="auto"/>
                  </w:tcBorders>
                  <w:vAlign w:val="bottom"/>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kern w:val="0"/>
                      <w:sz w:val="24"/>
                      <w:szCs w:val="24"/>
                    </w:rPr>
                    <w:t>多科</w:t>
                  </w:r>
                  <w:proofErr w:type="gramStart"/>
                  <w:r w:rsidRPr="00FB16C9">
                    <w:rPr>
                      <w:rFonts w:ascii="宋体" w:eastAsia="宋体" w:hAnsi="宋体" w:cs="宋体" w:hint="eastAsia"/>
                      <w:kern w:val="0"/>
                      <w:sz w:val="24"/>
                      <w:szCs w:val="24"/>
                    </w:rPr>
                    <w:t>性教学</w:t>
                  </w:r>
                  <w:proofErr w:type="gramEnd"/>
                  <w:r w:rsidRPr="00FB16C9">
                    <w:rPr>
                      <w:rFonts w:ascii="宋体" w:eastAsia="宋体" w:hAnsi="宋体" w:cs="宋体" w:hint="eastAsia"/>
                      <w:kern w:val="0"/>
                      <w:sz w:val="24"/>
                      <w:szCs w:val="24"/>
                    </w:rPr>
                    <w:t>研究型高校</w:t>
                  </w:r>
                  <w:r w:rsidRPr="00FB16C9">
                    <w:rPr>
                      <w:rFonts w:ascii="宋体" w:eastAsia="宋体" w:hAnsi="宋体" w:cs="宋体"/>
                      <w:kern w:val="0"/>
                      <w:sz w:val="24"/>
                      <w:szCs w:val="24"/>
                    </w:rPr>
                    <w:t xml:space="preserve"> </w:t>
                  </w:r>
                </w:p>
              </w:tc>
            </w:tr>
            <w:tr w:rsidR="00FB16C9" w:rsidRPr="00FB16C9">
              <w:trPr>
                <w:tblCellSpacing w:w="0" w:type="dxa"/>
              </w:trPr>
              <w:tc>
                <w:tcPr>
                  <w:tcW w:w="2130" w:type="dxa"/>
                  <w:tcBorders>
                    <w:top w:val="single" w:sz="8" w:space="0" w:color="auto"/>
                    <w:left w:val="single" w:sz="8" w:space="0" w:color="auto"/>
                    <w:bottom w:val="single" w:sz="8" w:space="0" w:color="auto"/>
                    <w:right w:val="single" w:sz="8" w:space="0" w:color="auto"/>
                  </w:tcBorders>
                  <w:vAlign w:val="bottom"/>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kern w:val="0"/>
                      <w:sz w:val="24"/>
                      <w:szCs w:val="24"/>
                    </w:rPr>
                    <w:t>教学为主型</w:t>
                  </w:r>
                  <w:r w:rsidRPr="00FB16C9">
                    <w:rPr>
                      <w:rFonts w:ascii="宋体" w:eastAsia="宋体" w:hAnsi="宋体" w:cs="宋体"/>
                      <w:kern w:val="0"/>
                      <w:sz w:val="24"/>
                      <w:szCs w:val="24"/>
                    </w:rPr>
                    <w:t xml:space="preserve"> </w:t>
                  </w:r>
                </w:p>
              </w:tc>
              <w:tc>
                <w:tcPr>
                  <w:tcW w:w="2700" w:type="dxa"/>
                  <w:tcBorders>
                    <w:top w:val="single" w:sz="8" w:space="0" w:color="auto"/>
                    <w:left w:val="single" w:sz="8" w:space="0" w:color="auto"/>
                    <w:bottom w:val="single" w:sz="8" w:space="0" w:color="auto"/>
                    <w:right w:val="single" w:sz="8" w:space="0" w:color="auto"/>
                  </w:tcBorders>
                  <w:vAlign w:val="bottom"/>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kern w:val="0"/>
                      <w:sz w:val="24"/>
                      <w:szCs w:val="24"/>
                    </w:rPr>
                    <w:t>综合性教学为主型高校</w:t>
                  </w:r>
                  <w:r w:rsidRPr="00FB16C9">
                    <w:rPr>
                      <w:rFonts w:ascii="宋体" w:eastAsia="宋体" w:hAnsi="宋体" w:cs="宋体"/>
                      <w:kern w:val="0"/>
                      <w:sz w:val="24"/>
                      <w:szCs w:val="24"/>
                    </w:rPr>
                    <w:t xml:space="preserve"> </w:t>
                  </w:r>
                </w:p>
              </w:tc>
              <w:tc>
                <w:tcPr>
                  <w:tcW w:w="2550" w:type="dxa"/>
                  <w:tcBorders>
                    <w:top w:val="single" w:sz="8" w:space="0" w:color="auto"/>
                    <w:left w:val="single" w:sz="8" w:space="0" w:color="auto"/>
                    <w:bottom w:val="single" w:sz="8" w:space="0" w:color="auto"/>
                    <w:right w:val="single" w:sz="8" w:space="0" w:color="auto"/>
                  </w:tcBorders>
                  <w:vAlign w:val="bottom"/>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kern w:val="0"/>
                      <w:sz w:val="24"/>
                      <w:szCs w:val="24"/>
                    </w:rPr>
                    <w:t>多科</w:t>
                  </w:r>
                  <w:proofErr w:type="gramStart"/>
                  <w:r w:rsidRPr="00FB16C9">
                    <w:rPr>
                      <w:rFonts w:ascii="宋体" w:eastAsia="宋体" w:hAnsi="宋体" w:cs="宋体" w:hint="eastAsia"/>
                      <w:kern w:val="0"/>
                      <w:sz w:val="24"/>
                      <w:szCs w:val="24"/>
                    </w:rPr>
                    <w:t>性教学</w:t>
                  </w:r>
                  <w:proofErr w:type="gramEnd"/>
                  <w:r w:rsidRPr="00FB16C9">
                    <w:rPr>
                      <w:rFonts w:ascii="宋体" w:eastAsia="宋体" w:hAnsi="宋体" w:cs="宋体" w:hint="eastAsia"/>
                      <w:kern w:val="0"/>
                      <w:sz w:val="24"/>
                      <w:szCs w:val="24"/>
                    </w:rPr>
                    <w:t>为主型高校</w:t>
                  </w:r>
                  <w:r w:rsidRPr="00FB16C9">
                    <w:rPr>
                      <w:rFonts w:ascii="宋体" w:eastAsia="宋体" w:hAnsi="宋体" w:cs="宋体"/>
                      <w:kern w:val="0"/>
                      <w:sz w:val="24"/>
                      <w:szCs w:val="24"/>
                    </w:rPr>
                    <w:t xml:space="preserve"> </w:t>
                  </w:r>
                </w:p>
              </w:tc>
            </w:tr>
          </w:tbl>
          <w:p w:rsidR="00FB16C9" w:rsidRPr="00FB16C9" w:rsidRDefault="00FB16C9" w:rsidP="00FB16C9">
            <w:pPr>
              <w:widowControl/>
              <w:jc w:val="left"/>
              <w:rPr>
                <w:rFonts w:ascii="宋体" w:eastAsia="宋体" w:hAnsi="宋体" w:cs="宋体"/>
                <w:kern w:val="0"/>
                <w:sz w:val="24"/>
                <w:szCs w:val="24"/>
              </w:rPr>
            </w:pP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（三）创新人才培养机制。</w:t>
      </w:r>
      <w:r w:rsidRPr="00FB16C9">
        <w:rPr>
          <w:rFonts w:ascii="宋体" w:eastAsia="宋体" w:hAnsi="宋体" w:cs="宋体"/>
          <w:kern w:val="0"/>
          <w:sz w:val="24"/>
          <w:szCs w:val="24"/>
        </w:rPr>
        <w:t xml:space="preserve">深化人才培养机制改革。深入实施课堂创新行动计划，紧紧围绕增强学习选择性，加强课程体系建设，改革教学方式方法，广泛开展启发式、讨论式教学。鼓励高校建设人才培养特区，深入开展省级“卓越计划”人才培养工作，积极探索培养拔尖创新人才。完善高校与行业企业、事业单位、科研院所协同育人机制，共同制定培养方案，共同建设课程，共建实践基地，共同制定评价标准，互聘师资。在高职院校积极推行现代学徒制，促进工学结合、产教融合。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lastRenderedPageBreak/>
        <w:t xml:space="preserve">深化研究生教育模式改革。坚持以服务需求、提高质量为主线，深入实施学位授权点动态调整，不断优化学位授权学科布局。按照不同学科、类别，分别制订研究生教育培养方案，区分学术学位和专业学位研究生的不同培养目标、培养模式、培养标准，探索跨学科领域培养，突出创新精神和创新能力，全面提升研究生培养质量。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加强创新创业教育。把深化高校创新创业教育改革作为推进高等教育综合改革的突破口，将创新精神、创业意识和创新创业能力作为评价人才培养质量的重要指标。推动创业学院建设，创新办学体制机制，联合地方政府、行业企业，建设创业基地、</w:t>
      </w:r>
      <w:proofErr w:type="gramStart"/>
      <w:r w:rsidRPr="00FB16C9">
        <w:rPr>
          <w:rFonts w:ascii="宋体" w:eastAsia="宋体" w:hAnsi="宋体" w:cs="宋体"/>
          <w:kern w:val="0"/>
          <w:sz w:val="24"/>
          <w:szCs w:val="24"/>
        </w:rPr>
        <w:t>创客中心</w:t>
      </w:r>
      <w:proofErr w:type="gramEnd"/>
      <w:r w:rsidRPr="00FB16C9">
        <w:rPr>
          <w:rFonts w:ascii="宋体" w:eastAsia="宋体" w:hAnsi="宋体" w:cs="宋体"/>
          <w:kern w:val="0"/>
          <w:sz w:val="24"/>
          <w:szCs w:val="24"/>
        </w:rPr>
        <w:t>、创新工场</w:t>
      </w:r>
      <w:proofErr w:type="gramStart"/>
      <w:r w:rsidRPr="00FB16C9">
        <w:rPr>
          <w:rFonts w:ascii="宋体" w:eastAsia="宋体" w:hAnsi="宋体" w:cs="宋体"/>
          <w:kern w:val="0"/>
          <w:sz w:val="24"/>
          <w:szCs w:val="24"/>
        </w:rPr>
        <w:t>等众创空间</w:t>
      </w:r>
      <w:proofErr w:type="gramEnd"/>
      <w:r w:rsidRPr="00FB16C9">
        <w:rPr>
          <w:rFonts w:ascii="宋体" w:eastAsia="宋体" w:hAnsi="宋体" w:cs="宋体"/>
          <w:kern w:val="0"/>
          <w:sz w:val="24"/>
          <w:szCs w:val="24"/>
        </w:rPr>
        <w:t xml:space="preserve">，建成一批在全国有影响的创业学院。加强大学生创新创业教育，开设创新创业课程，举办创业大赛。建立创新创业学分积累和转换制度，实施“创业导师培育工程”。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加强职业教育与普通教育的贯通和衔接。完善高职院校与普通本科高校相衔接的培养体系，探索高职、普通本科、专业硕士贯通培养模式。按照社会有需求、高职有优势、本科有布点的思路，深化四年制高等职业教育人才培养试点。加强高职教育对中职教育的引领与衔接，完善中高职“3+2”和五年一贯制招生，逐步扩大普通本科高校直接招收中职毕业生规模。 </w:t>
      </w: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b/>
                <w:bCs/>
                <w:kern w:val="0"/>
                <w:sz w:val="24"/>
                <w:szCs w:val="24"/>
              </w:rPr>
              <w:t>专栏11：课堂教学创新行动计划</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加大推进课堂教学创新力度，发挥课堂教书育人重要作用。争取到2020年，高校小班化授课比例超过60%，选修课学分占总学分比例超过50%，实施分层分类教学课程的比例超过50%。</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b/>
                <w:bCs/>
                <w:kern w:val="0"/>
                <w:sz w:val="24"/>
                <w:szCs w:val="24"/>
              </w:rPr>
              <w:t>专栏12</w:t>
            </w:r>
            <w:r w:rsidRPr="00FB16C9">
              <w:rPr>
                <w:rFonts w:ascii="宋体" w:eastAsia="宋体" w:hAnsi="宋体" w:cs="宋体" w:hint="eastAsia"/>
                <w:kern w:val="0"/>
                <w:sz w:val="24"/>
                <w:szCs w:val="24"/>
              </w:rPr>
              <w:t>：</w:t>
            </w:r>
            <w:r w:rsidRPr="00FB16C9">
              <w:rPr>
                <w:rFonts w:ascii="宋体" w:eastAsia="宋体" w:hAnsi="宋体" w:cs="宋体" w:hint="eastAsia"/>
                <w:b/>
                <w:bCs/>
                <w:kern w:val="0"/>
                <w:sz w:val="24"/>
                <w:szCs w:val="24"/>
              </w:rPr>
              <w:t>大学生创新创业能力提升行动计划</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在全省高校普遍建立创业学院的基础上，开展新型创新创业骨干人才培养试点，每年重点培训2万名有创业意向的大学生；鼓励支持大学生创业团队，到2020年，建设30所省级示范性创业学院。</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b/>
                <w:bCs/>
                <w:kern w:val="0"/>
                <w:sz w:val="24"/>
                <w:szCs w:val="24"/>
              </w:rPr>
              <w:t>专栏13：加强职业教育与普通教育的贯通和衔接</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推进20个左右高职优势特色专业联合本科院校开展四年制高等职业教育人才培养试点。完善并逐步扩大“3+2”和五年一贯制高职专业人才培养。中职教育毕业生升入高层次院校学习的比例达到30%以上。</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健全大学生实习实训制度。依托行业企业、科研院所和地方高新技术产业园区等，建设一批较高水平的校外实践实训基地，完善学校主体、政府扶持、学校与实习单位共同管理的工作机制。高校要按照专业培养目标，制定实习计划，明</w:t>
      </w:r>
      <w:r w:rsidRPr="00FB16C9">
        <w:rPr>
          <w:rFonts w:ascii="宋体" w:eastAsia="宋体" w:hAnsi="宋体" w:cs="宋体"/>
          <w:kern w:val="0"/>
          <w:sz w:val="24"/>
          <w:szCs w:val="24"/>
        </w:rPr>
        <w:lastRenderedPageBreak/>
        <w:t>确实习任务，按比例配备专兼职指导教师，保证实习经费投入，强化实习质量监控制度，实行</w:t>
      </w:r>
      <w:proofErr w:type="gramStart"/>
      <w:r w:rsidRPr="00FB16C9">
        <w:rPr>
          <w:rFonts w:ascii="宋体" w:eastAsia="宋体" w:hAnsi="宋体" w:cs="宋体"/>
          <w:kern w:val="0"/>
          <w:sz w:val="24"/>
          <w:szCs w:val="24"/>
        </w:rPr>
        <w:t>实习全</w:t>
      </w:r>
      <w:proofErr w:type="gramEnd"/>
      <w:r w:rsidRPr="00FB16C9">
        <w:rPr>
          <w:rFonts w:ascii="宋体" w:eastAsia="宋体" w:hAnsi="宋体" w:cs="宋体"/>
          <w:kern w:val="0"/>
          <w:sz w:val="24"/>
          <w:szCs w:val="24"/>
        </w:rPr>
        <w:t xml:space="preserve">过程指导管理。 </w:t>
      </w: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b/>
                <w:bCs/>
                <w:kern w:val="0"/>
                <w:sz w:val="24"/>
                <w:szCs w:val="24"/>
              </w:rPr>
              <w:t>专栏14：加强实践实训基地建设</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t>全省建设100个省级大学生校外实践基地，建成200个装备水平高、运行机制灵活、投入效益明显、产学研用一体的高职教育实训基地。</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（四）推进教师管理制度改革。</w:t>
      </w:r>
      <w:r w:rsidRPr="00FB16C9">
        <w:rPr>
          <w:rFonts w:ascii="宋体" w:eastAsia="宋体" w:hAnsi="宋体" w:cs="宋体"/>
          <w:kern w:val="0"/>
          <w:sz w:val="24"/>
          <w:szCs w:val="24"/>
        </w:rPr>
        <w:t xml:space="preserve">建立生师比与编制员额、岗位总量相结合的动态调整机制，完善流动、转岗和退出机制，优化各类人员结构比例。完善教师分类管理、分类评价办法，完善以业绩贡献和能力水平为导向的绩效考核评价体系。支持高校加大人事制度改革力度，在重点建设高校探索建设“自我发展、自我管理、自我约束”的人事管理新机制。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（五）积极推进高校考试招生制度综合改革。</w:t>
      </w:r>
      <w:r w:rsidRPr="00FB16C9">
        <w:rPr>
          <w:rFonts w:ascii="宋体" w:eastAsia="宋体" w:hAnsi="宋体" w:cs="宋体"/>
          <w:kern w:val="0"/>
          <w:sz w:val="24"/>
          <w:szCs w:val="24"/>
        </w:rPr>
        <w:t xml:space="preserve">全面建立学生多次选择、高校依法招生、政府宏观管理、社会参与监督、分类考试、综合评价和多元录取的高校考试招生制度。深化和完善统一高考招生、高职提前招生、单独考试招生和“三位一体”招生模式改革，扩大高校招生自主权，推动高校积极运用高中学校综合素质评价结果。深化研究生招生改革，完善招生选拔机制，优化选拔标准和选拔程序，扩大导师招生自主权。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（六）积极推进办学体制改革。</w:t>
      </w:r>
      <w:r w:rsidRPr="00FB16C9">
        <w:rPr>
          <w:rFonts w:ascii="宋体" w:eastAsia="宋体" w:hAnsi="宋体" w:cs="宋体"/>
          <w:kern w:val="0"/>
          <w:sz w:val="24"/>
          <w:szCs w:val="24"/>
        </w:rPr>
        <w:t xml:space="preserve">充分发挥我省民间资本丰富的优势，鼓励社会力量以资本、技术、管理等要素参与办学。健全民办高校健康发展促进机制，坚持鼓励支持与引导规范并重，促进民办高校着力内涵建设，强化办学特色，提升办学水平。积极推进独立学院设置，加快推进资源配置、绩效评价、激励措施等重要环节改革。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（七）积极扩大国际交流与合作。</w:t>
      </w:r>
      <w:r w:rsidRPr="00FB16C9">
        <w:rPr>
          <w:rFonts w:ascii="宋体" w:eastAsia="宋体" w:hAnsi="宋体" w:cs="宋体"/>
          <w:kern w:val="0"/>
          <w:sz w:val="24"/>
          <w:szCs w:val="24"/>
        </w:rPr>
        <w:t>学习借鉴国际先进教育思想、办学理念、教学方法和管理经验，鼓励高校多形式与境外同类高水平院校合作，举办二级教学科研机构，建设</w:t>
      </w:r>
      <w:proofErr w:type="gramStart"/>
      <w:r w:rsidRPr="00FB16C9">
        <w:rPr>
          <w:rFonts w:ascii="宋体" w:eastAsia="宋体" w:hAnsi="宋体" w:cs="宋体"/>
          <w:kern w:val="0"/>
          <w:sz w:val="24"/>
          <w:szCs w:val="24"/>
        </w:rPr>
        <w:t>一</w:t>
      </w:r>
      <w:proofErr w:type="gramEnd"/>
      <w:r w:rsidRPr="00FB16C9">
        <w:rPr>
          <w:rFonts w:ascii="宋体" w:eastAsia="宋体" w:hAnsi="宋体" w:cs="宋体"/>
          <w:kern w:val="0"/>
          <w:sz w:val="24"/>
          <w:szCs w:val="24"/>
        </w:rPr>
        <w:t xml:space="preserve">批示范性中外合作办学项目，积极争取引进国外一流高校创办中外合作的高水平大学。在高校积极推进开展国际化专业和特色课程建设，组织教师和学生多形式开展对外交流。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加强与国外高水平大学、科研机构的学术交流和科研合作，建设一批国际科研合作平台。积极发展留学生教育，优化国别地区结构，注重生源质量，着力提升学历生比重。加强外语授课的国际化专业和特色课程群建设，努力提高留学生教育层次和教学水平。积极开展教育国际服务，推进高校围绕国家实施“一带一路”战略，多形式开展海外办学，认真办好孔子学院，做好教育援外和志愿服务工作。 </w:t>
      </w: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b/>
                <w:bCs/>
                <w:kern w:val="0"/>
                <w:sz w:val="24"/>
                <w:szCs w:val="24"/>
              </w:rPr>
              <w:t>专栏15：高等教育国际化发展战略</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588"/>
              <w:rPr>
                <w:rFonts w:ascii="宋体" w:eastAsia="宋体" w:hAnsi="宋体" w:cs="宋体"/>
                <w:kern w:val="0"/>
                <w:sz w:val="24"/>
                <w:szCs w:val="24"/>
              </w:rPr>
            </w:pPr>
            <w:r w:rsidRPr="00FB16C9">
              <w:rPr>
                <w:rFonts w:ascii="宋体" w:eastAsia="宋体" w:hAnsi="宋体" w:cs="宋体" w:hint="eastAsia"/>
                <w:kern w:val="0"/>
                <w:sz w:val="24"/>
                <w:szCs w:val="24"/>
              </w:rPr>
              <w:t>1.</w:t>
            </w:r>
            <w:r w:rsidRPr="00FB16C9">
              <w:rPr>
                <w:rFonts w:ascii="宋体" w:eastAsia="宋体" w:hAnsi="宋体" w:cs="宋体" w:hint="eastAsia"/>
                <w:b/>
                <w:bCs/>
                <w:kern w:val="0"/>
                <w:sz w:val="24"/>
                <w:szCs w:val="24"/>
              </w:rPr>
              <w:t>国际化特色高校建设工程：</w:t>
            </w:r>
            <w:r w:rsidRPr="00FB16C9">
              <w:rPr>
                <w:rFonts w:ascii="宋体" w:eastAsia="宋体" w:hAnsi="宋体" w:cs="宋体" w:hint="eastAsia"/>
                <w:kern w:val="0"/>
                <w:sz w:val="24"/>
                <w:szCs w:val="24"/>
              </w:rPr>
              <w:t>筛选10所国际化程度比较高的高校，以国际化专业课程打造、国际化师资培养为重点，开展国际化特色高校建设。</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588"/>
              <w:rPr>
                <w:rFonts w:ascii="宋体" w:eastAsia="宋体" w:hAnsi="宋体" w:cs="宋体"/>
                <w:kern w:val="0"/>
                <w:sz w:val="24"/>
                <w:szCs w:val="24"/>
              </w:rPr>
            </w:pPr>
            <w:r w:rsidRPr="00FB16C9">
              <w:rPr>
                <w:rFonts w:ascii="宋体" w:eastAsia="宋体" w:hAnsi="宋体" w:cs="宋体" w:hint="eastAsia"/>
                <w:kern w:val="0"/>
                <w:sz w:val="24"/>
                <w:szCs w:val="24"/>
              </w:rPr>
              <w:lastRenderedPageBreak/>
              <w:t>2.</w:t>
            </w:r>
            <w:r w:rsidRPr="00FB16C9">
              <w:rPr>
                <w:rFonts w:ascii="宋体" w:eastAsia="宋体" w:hAnsi="宋体" w:cs="宋体" w:hint="eastAsia"/>
                <w:b/>
                <w:bCs/>
                <w:kern w:val="0"/>
                <w:sz w:val="24"/>
                <w:szCs w:val="24"/>
              </w:rPr>
              <w:t>国际化专业建设计划：</w:t>
            </w:r>
            <w:r w:rsidRPr="00FB16C9">
              <w:rPr>
                <w:rFonts w:ascii="宋体" w:eastAsia="宋体" w:hAnsi="宋体" w:cs="宋体" w:hint="eastAsia"/>
                <w:kern w:val="0"/>
                <w:sz w:val="24"/>
                <w:szCs w:val="24"/>
              </w:rPr>
              <w:t>50%以上本科院校开设一个以上全外语授课的国际化专业，50%以上高职高专院校开设三门以上的全外语授课课程。</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588"/>
              <w:rPr>
                <w:rFonts w:ascii="宋体" w:eastAsia="宋体" w:hAnsi="宋体" w:cs="宋体"/>
                <w:kern w:val="0"/>
                <w:sz w:val="24"/>
                <w:szCs w:val="24"/>
              </w:rPr>
            </w:pPr>
            <w:r w:rsidRPr="00FB16C9">
              <w:rPr>
                <w:rFonts w:ascii="宋体" w:eastAsia="宋体" w:hAnsi="宋体" w:cs="宋体" w:hint="eastAsia"/>
                <w:b/>
                <w:bCs/>
                <w:kern w:val="0"/>
                <w:sz w:val="24"/>
                <w:szCs w:val="24"/>
              </w:rPr>
              <w:t>3.高校师生境外访学培训交流计划：</w:t>
            </w:r>
            <w:r w:rsidRPr="00FB16C9">
              <w:rPr>
                <w:rFonts w:ascii="宋体" w:eastAsia="宋体" w:hAnsi="宋体" w:cs="宋体" w:hint="eastAsia"/>
                <w:kern w:val="0"/>
                <w:sz w:val="24"/>
                <w:szCs w:val="24"/>
              </w:rPr>
              <w:t>每年选派200名左右高校中青年优秀教师公派进行6至12个月的出国访学，每年选送150名教师进行为期3至6个月的教学法培训；每年资助2000名优秀本科生和500名研究生赴境外高水平大学进行为期一学期或</w:t>
            </w:r>
            <w:proofErr w:type="gramStart"/>
            <w:r w:rsidRPr="00FB16C9">
              <w:rPr>
                <w:rFonts w:ascii="宋体" w:eastAsia="宋体" w:hAnsi="宋体" w:cs="宋体" w:hint="eastAsia"/>
                <w:kern w:val="0"/>
                <w:sz w:val="24"/>
                <w:szCs w:val="24"/>
              </w:rPr>
              <w:t>一</w:t>
            </w:r>
            <w:proofErr w:type="gramEnd"/>
            <w:r w:rsidRPr="00FB16C9">
              <w:rPr>
                <w:rFonts w:ascii="宋体" w:eastAsia="宋体" w:hAnsi="宋体" w:cs="宋体" w:hint="eastAsia"/>
                <w:kern w:val="0"/>
                <w:sz w:val="24"/>
                <w:szCs w:val="24"/>
              </w:rPr>
              <w:t>学年的专业学习。到2020年，研究生培养高校、其他本科高校、高职高专院校专任教师访学（研修）3个月以上比例分别达到40%、25%和8%，国内学生通过交流生、交换生赴境外学习比例超过3%。</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lastRenderedPageBreak/>
        <w:t xml:space="preserve">六、不断提高高等教育改革发展保障水平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（一）坚持和完善党委领导下的校长负责制。</w:t>
      </w:r>
      <w:r w:rsidRPr="00FB16C9">
        <w:rPr>
          <w:rFonts w:ascii="宋体" w:eastAsia="宋体" w:hAnsi="宋体" w:cs="宋体"/>
          <w:kern w:val="0"/>
          <w:sz w:val="24"/>
          <w:szCs w:val="24"/>
        </w:rPr>
        <w:t>加强党对高校的领导，强化党委的领导核心作用，保障校长依法行使职权，建立健全党委统一领导、党政分工合作、协调运行的工作机制。推进全面从严治党，落实党建工作责任制，坚持高校党委书记抓基层党建述职评议制度，完善二级学院（系）管理体制机制，建立健全基层党支部参与重大事项决策机制，充分发挥基层党组织和广大师生党员在学校改革发展稳定中的政治核心、战斗堡垒作用和先锋模范作用。深化</w:t>
      </w:r>
      <w:proofErr w:type="gramStart"/>
      <w:r w:rsidRPr="00FB16C9">
        <w:rPr>
          <w:rFonts w:ascii="宋体" w:eastAsia="宋体" w:hAnsi="宋体" w:cs="宋体"/>
          <w:kern w:val="0"/>
          <w:sz w:val="24"/>
          <w:szCs w:val="24"/>
        </w:rPr>
        <w:t>党建带</w:t>
      </w:r>
      <w:proofErr w:type="gramEnd"/>
      <w:r w:rsidRPr="00FB16C9">
        <w:rPr>
          <w:rFonts w:ascii="宋体" w:eastAsia="宋体" w:hAnsi="宋体" w:cs="宋体"/>
          <w:kern w:val="0"/>
          <w:sz w:val="24"/>
          <w:szCs w:val="24"/>
        </w:rPr>
        <w:t xml:space="preserve">群团建设，加强统一战线工作，最大限度地凝聚人心、汇聚力量。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（二）加强教师队伍建设。</w:t>
      </w:r>
      <w:r w:rsidRPr="00FB16C9">
        <w:rPr>
          <w:rFonts w:ascii="宋体" w:eastAsia="宋体" w:hAnsi="宋体" w:cs="宋体"/>
          <w:kern w:val="0"/>
          <w:sz w:val="24"/>
          <w:szCs w:val="24"/>
        </w:rPr>
        <w:t xml:space="preserve">加大领军人才和高层次骨干人才的培养与引进。实施“高校名师培养计划”。以培养中青年骨干教师为重点，以造就学科团队领军人才为核心，结合一流学科和优势特色专业建设，多形式多途径培养中青年学科带头人和高职院校专业带头人。根据学校发展定位和学科专业发展规划，大力引进国家“千人计划”、“万人计划”、“省海外高层次人才引进计划”、“高校海外精英集聚计划”人才和“钱江学者”特聘教授。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完善高校青年教师专业培养体系，注重对高校教师教育教学能力的培养，加强新入职教师岗前培训和中青年骨干教师专业发展培训。推进高校教师教学发展中心和教师培养培训基地建设，加大“本科高校访问学者”和“高职高专院校访问工程师”计划实施力度，不断提升教师综合素质和教师队伍整体水平。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加强师德师风建设。加强教师思想政治工作，强化师德为先理念，建立健全教师政治学习制度，把教师思想政治教育、职业理想教育、学术规范教育、法治教育以及心理健康教育融入职前培养、准入、职后培训和管理的全过程。健全师德考核评价制度，建立和</w:t>
      </w:r>
      <w:proofErr w:type="gramStart"/>
      <w:r w:rsidRPr="00FB16C9">
        <w:rPr>
          <w:rFonts w:ascii="宋体" w:eastAsia="宋体" w:hAnsi="宋体" w:cs="宋体"/>
          <w:kern w:val="0"/>
          <w:sz w:val="24"/>
          <w:szCs w:val="24"/>
        </w:rPr>
        <w:t>完善重师德</w:t>
      </w:r>
      <w:proofErr w:type="gramEnd"/>
      <w:r w:rsidRPr="00FB16C9">
        <w:rPr>
          <w:rFonts w:ascii="宋体" w:eastAsia="宋体" w:hAnsi="宋体" w:cs="宋体"/>
          <w:kern w:val="0"/>
          <w:sz w:val="24"/>
          <w:szCs w:val="24"/>
        </w:rPr>
        <w:t>、重能力、重业绩、重贡献的教师考核评价机制，对教师考核实行师德表现“一票否决制”；大力表彰</w:t>
      </w:r>
      <w:proofErr w:type="gramStart"/>
      <w:r w:rsidRPr="00FB16C9">
        <w:rPr>
          <w:rFonts w:ascii="宋体" w:eastAsia="宋体" w:hAnsi="宋体" w:cs="宋体"/>
          <w:kern w:val="0"/>
          <w:sz w:val="24"/>
          <w:szCs w:val="24"/>
        </w:rPr>
        <w:t>师德模范</w:t>
      </w:r>
      <w:proofErr w:type="gramEnd"/>
      <w:r w:rsidRPr="00FB16C9">
        <w:rPr>
          <w:rFonts w:ascii="宋体" w:eastAsia="宋体" w:hAnsi="宋体" w:cs="宋体"/>
          <w:kern w:val="0"/>
          <w:sz w:val="24"/>
          <w:szCs w:val="24"/>
        </w:rPr>
        <w:t xml:space="preserve">和师德先进个人，弘扬高尚的师德师风，努力打造一支“有理想信念、有道德情操、有扎实学识、有仁爱之心”的教师队伍。 </w:t>
      </w: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b/>
                <w:bCs/>
                <w:kern w:val="0"/>
                <w:sz w:val="24"/>
                <w:szCs w:val="24"/>
              </w:rPr>
              <w:t>专栏16：高校名师培养计划</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413"/>
              <w:jc w:val="left"/>
              <w:rPr>
                <w:rFonts w:ascii="宋体" w:eastAsia="宋体" w:hAnsi="宋体" w:cs="宋体"/>
                <w:kern w:val="0"/>
                <w:sz w:val="24"/>
                <w:szCs w:val="24"/>
              </w:rPr>
            </w:pPr>
            <w:r w:rsidRPr="00FB16C9">
              <w:rPr>
                <w:rFonts w:ascii="宋体" w:eastAsia="宋体" w:hAnsi="宋体" w:cs="宋体" w:hint="eastAsia"/>
                <w:b/>
                <w:bCs/>
                <w:kern w:val="0"/>
                <w:sz w:val="24"/>
                <w:szCs w:val="24"/>
              </w:rPr>
              <w:t>1.建设一批高水平创新团队。</w:t>
            </w:r>
            <w:r w:rsidRPr="00FB16C9">
              <w:rPr>
                <w:rFonts w:ascii="宋体" w:eastAsia="宋体" w:hAnsi="宋体" w:cs="宋体" w:hint="eastAsia"/>
                <w:kern w:val="0"/>
                <w:sz w:val="24"/>
                <w:szCs w:val="24"/>
              </w:rPr>
              <w:t>依托重点高校建设、一流</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rPr>
                <w:rFonts w:ascii="宋体" w:eastAsia="宋体" w:hAnsi="宋体" w:cs="宋体"/>
                <w:kern w:val="0"/>
                <w:sz w:val="24"/>
                <w:szCs w:val="24"/>
              </w:rPr>
            </w:pPr>
            <w:r w:rsidRPr="00FB16C9">
              <w:rPr>
                <w:rFonts w:ascii="宋体" w:eastAsia="宋体" w:hAnsi="宋体" w:cs="宋体" w:hint="eastAsia"/>
                <w:kern w:val="0"/>
                <w:sz w:val="24"/>
                <w:szCs w:val="24"/>
              </w:rPr>
              <w:lastRenderedPageBreak/>
              <w:t>学科和优势特色专业建设，建设50个高水平创新团队。</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422"/>
              <w:jc w:val="left"/>
              <w:rPr>
                <w:rFonts w:ascii="宋体" w:eastAsia="宋体" w:hAnsi="宋体" w:cs="宋体"/>
                <w:kern w:val="0"/>
                <w:sz w:val="24"/>
                <w:szCs w:val="24"/>
              </w:rPr>
            </w:pPr>
            <w:r w:rsidRPr="00FB16C9">
              <w:rPr>
                <w:rFonts w:ascii="宋体" w:eastAsia="宋体" w:hAnsi="宋体" w:cs="宋体" w:hint="eastAsia"/>
                <w:b/>
                <w:bCs/>
                <w:kern w:val="0"/>
                <w:sz w:val="24"/>
                <w:szCs w:val="24"/>
              </w:rPr>
              <w:t>2.深入实施高校高层次人才引进计划。</w:t>
            </w:r>
            <w:r w:rsidRPr="00FB16C9">
              <w:rPr>
                <w:rFonts w:ascii="宋体" w:eastAsia="宋体" w:hAnsi="宋体" w:cs="宋体" w:hint="eastAsia"/>
                <w:kern w:val="0"/>
                <w:sz w:val="24"/>
                <w:szCs w:val="24"/>
              </w:rPr>
              <w:t>依托高校重点学科、重点实验室、科研项目等平台，大力引进国家“千人计划”“万人计划”“省海外高层次人才引进计划” 和“高校海外精英集聚计划”人才，计划引进“钱江学者”特聘教授200名。</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422"/>
              <w:jc w:val="left"/>
              <w:rPr>
                <w:rFonts w:ascii="宋体" w:eastAsia="宋体" w:hAnsi="宋体" w:cs="宋体"/>
                <w:kern w:val="0"/>
                <w:sz w:val="24"/>
                <w:szCs w:val="24"/>
              </w:rPr>
            </w:pPr>
            <w:r w:rsidRPr="00FB16C9">
              <w:rPr>
                <w:rFonts w:ascii="宋体" w:eastAsia="宋体" w:hAnsi="宋体" w:cs="宋体" w:hint="eastAsia"/>
                <w:b/>
                <w:bCs/>
                <w:kern w:val="0"/>
                <w:sz w:val="24"/>
                <w:szCs w:val="24"/>
              </w:rPr>
              <w:t>3.高校学科专业带头人培养工程。</w:t>
            </w:r>
            <w:r w:rsidRPr="00FB16C9">
              <w:rPr>
                <w:rFonts w:ascii="宋体" w:eastAsia="宋体" w:hAnsi="宋体" w:cs="宋体" w:hint="eastAsia"/>
                <w:kern w:val="0"/>
                <w:sz w:val="24"/>
                <w:szCs w:val="24"/>
              </w:rPr>
              <w:t>加大中青年学科专业带头人培养力度，加快高层次人才队伍建设，多途径多形式培养500名本科院校学科带头人和300名高职院校专业带头人。</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ind w:firstLine="422"/>
              <w:rPr>
                <w:rFonts w:ascii="宋体" w:eastAsia="宋体" w:hAnsi="宋体" w:cs="宋体"/>
                <w:kern w:val="0"/>
                <w:sz w:val="24"/>
                <w:szCs w:val="24"/>
              </w:rPr>
            </w:pPr>
            <w:r w:rsidRPr="00FB16C9">
              <w:rPr>
                <w:rFonts w:ascii="宋体" w:eastAsia="宋体" w:hAnsi="宋体" w:cs="宋体" w:hint="eastAsia"/>
                <w:b/>
                <w:bCs/>
                <w:kern w:val="0"/>
                <w:sz w:val="24"/>
                <w:szCs w:val="24"/>
              </w:rPr>
              <w:t>4.中青年骨干教师发展工程：</w:t>
            </w:r>
            <w:r w:rsidRPr="00FB16C9">
              <w:rPr>
                <w:rFonts w:ascii="宋体" w:eastAsia="宋体" w:hAnsi="宋体" w:cs="宋体" w:hint="eastAsia"/>
                <w:kern w:val="0"/>
                <w:sz w:val="24"/>
                <w:szCs w:val="24"/>
              </w:rPr>
              <w:t>完善本科高校中青年教师“访问学者”和高职高专院校“访问工程师”培养制度，选派1000名“访问学者”到高水平高校访学，选派1000名“访问工程师”到企业实践。重点支持建成</w:t>
            </w:r>
            <w:proofErr w:type="gramStart"/>
            <w:r w:rsidRPr="00FB16C9">
              <w:rPr>
                <w:rFonts w:ascii="宋体" w:eastAsia="宋体" w:hAnsi="宋体" w:cs="宋体" w:hint="eastAsia"/>
                <w:kern w:val="0"/>
                <w:sz w:val="24"/>
                <w:szCs w:val="24"/>
              </w:rPr>
              <w:t>一</w:t>
            </w:r>
            <w:proofErr w:type="gramEnd"/>
            <w:r w:rsidRPr="00FB16C9">
              <w:rPr>
                <w:rFonts w:ascii="宋体" w:eastAsia="宋体" w:hAnsi="宋体" w:cs="宋体" w:hint="eastAsia"/>
                <w:kern w:val="0"/>
                <w:sz w:val="24"/>
                <w:szCs w:val="24"/>
              </w:rPr>
              <w:t>批示范性“双师”教师培养培训基地。</w:t>
            </w:r>
            <w:r w:rsidRPr="00FB16C9">
              <w:rPr>
                <w:rFonts w:ascii="宋体" w:eastAsia="宋体" w:hAnsi="宋体" w:cs="宋体"/>
                <w:kern w:val="0"/>
                <w:sz w:val="24"/>
                <w:szCs w:val="24"/>
              </w:rPr>
              <w:t xml:space="preserve"> </w:t>
            </w:r>
          </w:p>
        </w:tc>
      </w:tr>
    </w:tbl>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lastRenderedPageBreak/>
        <w:t>（三）全面推进智慧教育。</w:t>
      </w:r>
      <w:r w:rsidRPr="00FB16C9">
        <w:rPr>
          <w:rFonts w:ascii="宋体" w:eastAsia="宋体" w:hAnsi="宋体" w:cs="宋体"/>
          <w:kern w:val="0"/>
          <w:sz w:val="24"/>
          <w:szCs w:val="24"/>
        </w:rPr>
        <w:t>适应“互联网+”的时代发展趋势，推进高等教育信息化建设，着力构建浙江教育大数据平台，充分发挥教育信息化的育人作用。全面建设智慧校园，校园网络骨干带宽达到10G以上，实现无线宽带校园全覆盖，接入带宽不低于300M，人人拥有学习终端和网络学习空间。深入推进信息技术与教育教学的深度融合，基于信息技术的教育教学模式创新和精准管理取得突破性进步。以国家级、省级精品视频公开课为基础，建设浙江省高等教育在线开放课程平台，丰富在线课程资源，推进校际课程互选、教师互聘、学分互认，鼓励学生跨校跨专业选课。建立与完善高校MOOCs运行管理机制，包括上网课程质量审核保证机制、线上修课与线下考核学分认定机制、高校MOOCs学分互认机制、教育成本分担和利益分享机制。建设浙江省高校虚拟仿真实验实训平台，提供远程实验实</w:t>
      </w:r>
      <w:proofErr w:type="gramStart"/>
      <w:r w:rsidRPr="00FB16C9">
        <w:rPr>
          <w:rFonts w:ascii="宋体" w:eastAsia="宋体" w:hAnsi="宋体" w:cs="宋体"/>
          <w:kern w:val="0"/>
          <w:sz w:val="24"/>
          <w:szCs w:val="24"/>
        </w:rPr>
        <w:t>训指导</w:t>
      </w:r>
      <w:proofErr w:type="gramEnd"/>
      <w:r w:rsidRPr="00FB16C9">
        <w:rPr>
          <w:rFonts w:ascii="宋体" w:eastAsia="宋体" w:hAnsi="宋体" w:cs="宋体"/>
          <w:kern w:val="0"/>
          <w:sz w:val="24"/>
          <w:szCs w:val="24"/>
        </w:rPr>
        <w:t xml:space="preserve">和教学服务。积极开展物联网、大数据、人工智能等新技术的研究和实践探索，发挥高校对智慧教育的智力支撑作用。支持高校深入开展图书馆数字化建设，积极利用大数据开展教学分析，丰富教学资源，改进教学方法手段；积极尝试建设投入多元、权责清晰、利益分享、开放包容、充满活力的线上大学。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（四）努力增加高等教育经费投入。</w:t>
      </w:r>
      <w:r w:rsidRPr="00FB16C9">
        <w:rPr>
          <w:rFonts w:ascii="宋体" w:eastAsia="宋体" w:hAnsi="宋体" w:cs="宋体"/>
          <w:kern w:val="0"/>
          <w:sz w:val="24"/>
          <w:szCs w:val="24"/>
        </w:rPr>
        <w:t>建立健全高等教育经费</w:t>
      </w:r>
      <w:proofErr w:type="gramStart"/>
      <w:r w:rsidRPr="00FB16C9">
        <w:rPr>
          <w:rFonts w:ascii="宋体" w:eastAsia="宋体" w:hAnsi="宋体" w:cs="宋体"/>
          <w:kern w:val="0"/>
          <w:sz w:val="24"/>
          <w:szCs w:val="24"/>
        </w:rPr>
        <w:t>长效保障</w:t>
      </w:r>
      <w:proofErr w:type="gramEnd"/>
      <w:r w:rsidRPr="00FB16C9">
        <w:rPr>
          <w:rFonts w:ascii="宋体" w:eastAsia="宋体" w:hAnsi="宋体" w:cs="宋体"/>
          <w:kern w:val="0"/>
          <w:sz w:val="24"/>
          <w:szCs w:val="24"/>
        </w:rPr>
        <w:t>机制。加大财政投入，完善绩效拨款制度，确保财政对高校拨款标准逐步提高。到2016年，普通本科院校生</w:t>
      </w:r>
      <w:proofErr w:type="gramStart"/>
      <w:r w:rsidRPr="00FB16C9">
        <w:rPr>
          <w:rFonts w:ascii="宋体" w:eastAsia="宋体" w:hAnsi="宋体" w:cs="宋体"/>
          <w:kern w:val="0"/>
          <w:sz w:val="24"/>
          <w:szCs w:val="24"/>
        </w:rPr>
        <w:t>均财政</w:t>
      </w:r>
      <w:proofErr w:type="gramEnd"/>
      <w:r w:rsidRPr="00FB16C9">
        <w:rPr>
          <w:rFonts w:ascii="宋体" w:eastAsia="宋体" w:hAnsi="宋体" w:cs="宋体"/>
          <w:kern w:val="0"/>
          <w:sz w:val="24"/>
          <w:szCs w:val="24"/>
        </w:rPr>
        <w:t>经费达到全国领先水平。到2017年，全省高职高专院校生</w:t>
      </w:r>
      <w:proofErr w:type="gramStart"/>
      <w:r w:rsidRPr="00FB16C9">
        <w:rPr>
          <w:rFonts w:ascii="宋体" w:eastAsia="宋体" w:hAnsi="宋体" w:cs="宋体"/>
          <w:kern w:val="0"/>
          <w:sz w:val="24"/>
          <w:szCs w:val="24"/>
        </w:rPr>
        <w:t>均财政</w:t>
      </w:r>
      <w:proofErr w:type="gramEnd"/>
      <w:r w:rsidRPr="00FB16C9">
        <w:rPr>
          <w:rFonts w:ascii="宋体" w:eastAsia="宋体" w:hAnsi="宋体" w:cs="宋体"/>
          <w:kern w:val="0"/>
          <w:sz w:val="24"/>
          <w:szCs w:val="24"/>
        </w:rPr>
        <w:t>经费水平不低于本科院校水平，市属高校生</w:t>
      </w:r>
      <w:proofErr w:type="gramStart"/>
      <w:r w:rsidRPr="00FB16C9">
        <w:rPr>
          <w:rFonts w:ascii="宋体" w:eastAsia="宋体" w:hAnsi="宋体" w:cs="宋体"/>
          <w:kern w:val="0"/>
          <w:sz w:val="24"/>
          <w:szCs w:val="24"/>
        </w:rPr>
        <w:t>均财政</w:t>
      </w:r>
      <w:proofErr w:type="gramEnd"/>
      <w:r w:rsidRPr="00FB16C9">
        <w:rPr>
          <w:rFonts w:ascii="宋体" w:eastAsia="宋体" w:hAnsi="宋体" w:cs="宋体"/>
          <w:kern w:val="0"/>
          <w:sz w:val="24"/>
          <w:szCs w:val="24"/>
        </w:rPr>
        <w:t xml:space="preserve">经费不低于省属同类院校水平。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完善高校拨款办法。在健全定额拨款、保证学校正常运转的基础上，创新教育资源投入机制，探索高校分类拨款制度，建立财政拨款与高校办学水平、质量、特色、优势挂钩机制，提高绩效拨款的比重。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健全高校经费使用监督管理机制。发挥第三方评估评价作用，对经费使用和绩效进行科学评价。健全高校经费综合监管制度，明确高校经费监管的机构、内容、方法以及与之相关的绩效评价激励办法。探索建立公办高校总会计师制度，促进高校财经管理专业化科学化。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lastRenderedPageBreak/>
        <w:t xml:space="preserve">完善教育成本分担机制。加强教育培养成本的全面监审，综合考虑办学成本、财政拨款情况、学生家庭的承受能力和市场对人才的需求，按照“平稳有序、逐步推进”的原则，建立高校学费收费动态调整机制，不断扩大高校收费自主权。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b/>
          <w:bCs/>
          <w:kern w:val="0"/>
          <w:sz w:val="24"/>
          <w:szCs w:val="24"/>
        </w:rPr>
        <w:t>（五）积极深化平安校园建设。</w:t>
      </w:r>
      <w:r w:rsidRPr="00FB16C9">
        <w:rPr>
          <w:rFonts w:ascii="宋体" w:eastAsia="宋体" w:hAnsi="宋体" w:cs="宋体"/>
          <w:kern w:val="0"/>
          <w:sz w:val="24"/>
          <w:szCs w:val="24"/>
        </w:rPr>
        <w:t xml:space="preserve">严格按照“党政同责、一岗双责、失职追责”和“管行业必须管安全、管业务必须管安全”的要求，完善校园安全稳定工作长效机制，推动安全稳定责任制和责任追究制在每个工作岗位的落实。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持续开展等级平安校园考评工作，进一步完善指标体系，改进考评方法，</w:t>
      </w:r>
      <w:proofErr w:type="gramStart"/>
      <w:r w:rsidRPr="00FB16C9">
        <w:rPr>
          <w:rFonts w:ascii="宋体" w:eastAsia="宋体" w:hAnsi="宋体" w:cs="宋体"/>
          <w:kern w:val="0"/>
          <w:sz w:val="24"/>
          <w:szCs w:val="24"/>
        </w:rPr>
        <w:t>以评促建</w:t>
      </w:r>
      <w:proofErr w:type="gramEnd"/>
      <w:r w:rsidRPr="00FB16C9">
        <w:rPr>
          <w:rFonts w:ascii="宋体" w:eastAsia="宋体" w:hAnsi="宋体" w:cs="宋体"/>
          <w:kern w:val="0"/>
          <w:sz w:val="24"/>
          <w:szCs w:val="24"/>
        </w:rPr>
        <w:t xml:space="preserve">，以评促改，加强考评结果综合运用，切实巩固和不断扩大平安校园建设成果。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不断完善“人防、物防、技防、心防”有机结合的校园安全防控网络，把工作重心从事后处置为主向事前主动防范为主转变。注重把“互联网+”、物联网等科技成果运用到校园安全、卫生管理等各领域，提升人防</w:t>
      </w:r>
      <w:proofErr w:type="gramStart"/>
      <w:r w:rsidRPr="00FB16C9">
        <w:rPr>
          <w:rFonts w:ascii="宋体" w:eastAsia="宋体" w:hAnsi="宋体" w:cs="宋体"/>
          <w:kern w:val="0"/>
          <w:sz w:val="24"/>
          <w:szCs w:val="24"/>
        </w:rPr>
        <w:t>物防技防水</w:t>
      </w:r>
      <w:proofErr w:type="gramEnd"/>
      <w:r w:rsidRPr="00FB16C9">
        <w:rPr>
          <w:rFonts w:ascii="宋体" w:eastAsia="宋体" w:hAnsi="宋体" w:cs="宋体"/>
          <w:kern w:val="0"/>
          <w:sz w:val="24"/>
          <w:szCs w:val="24"/>
        </w:rPr>
        <w:t xml:space="preserve">平。在实验室安全、公共卫生和食品安全等关键领域，突出规范化、精细化和标准化管理。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加强预警体系和应急处置体系建设，对重点领域列出风险管控清单进行提前防范，对心理有障碍等五类特殊学生群体进一步加强排查和帮扶工作，建立健全谈心谈话、跟踪观察及定期信息报告制度，降低意外事故发生率。完善校园各类突发事件处置预案，经常性组织开展演练，熟悉处置程序，提高处置能力。以“校园110”为核心建立健全快速反应组织，在校内做到指挥体系完善，各有关部门协调配合，保障措施有力；在校外完善与公安、消防、卫生防疫等职能部门的协同联动机制，形成工作合力。 </w:t>
      </w:r>
    </w:p>
    <w:p w:rsidR="00FB16C9" w:rsidRPr="00FB16C9" w:rsidRDefault="00FB16C9" w:rsidP="00FB16C9">
      <w:pPr>
        <w:widowControl/>
        <w:spacing w:before="100" w:beforeAutospacing="1" w:after="100" w:afterAutospacing="1"/>
        <w:ind w:firstLine="480"/>
        <w:rPr>
          <w:rFonts w:ascii="宋体" w:eastAsia="宋体" w:hAnsi="宋体" w:cs="宋体"/>
          <w:kern w:val="0"/>
          <w:sz w:val="24"/>
          <w:szCs w:val="24"/>
        </w:rPr>
      </w:pPr>
      <w:r w:rsidRPr="00FB16C9">
        <w:rPr>
          <w:rFonts w:ascii="宋体" w:eastAsia="宋体" w:hAnsi="宋体" w:cs="宋体"/>
          <w:kern w:val="0"/>
          <w:sz w:val="24"/>
          <w:szCs w:val="24"/>
        </w:rPr>
        <w:t xml:space="preserve">强化学生安全教育。立足于提高安全教育的有效性，推广新生入学安全常识测试和实验室准入安全考试。加强对防范通信网络诈骗、网络借贷风险等新领域学生安全教育方式与内容的研究。加强和改进心理健康教育、心理疾病监测与预防工作，切实做好艾滋病防控和禁毒工作。建立高校安全教育课程学分制，不断提高大学生的安全意识与生存技能。 </w:t>
      </w:r>
    </w:p>
    <w:tbl>
      <w:tblPr>
        <w:tblW w:w="0" w:type="auto"/>
        <w:jc w:val="center"/>
        <w:tblCellSpacing w:w="0" w:type="dxa"/>
        <w:tblCellMar>
          <w:left w:w="0" w:type="dxa"/>
          <w:right w:w="0" w:type="dxa"/>
        </w:tblCellMar>
        <w:tblLook w:val="04A0" w:firstRow="1" w:lastRow="0" w:firstColumn="1" w:lastColumn="0" w:noHBand="0" w:noVBand="1"/>
      </w:tblPr>
      <w:tblGrid>
        <w:gridCol w:w="8346"/>
      </w:tblGrid>
      <w:tr w:rsidR="00FB16C9" w:rsidRPr="00FB16C9" w:rsidTr="00FB16C9">
        <w:trPr>
          <w:tblCellSpacing w:w="0" w:type="dxa"/>
          <w:jc w:val="center"/>
        </w:trPr>
        <w:tc>
          <w:tcPr>
            <w:tcW w:w="8520" w:type="dxa"/>
            <w:tcBorders>
              <w:top w:val="single" w:sz="8" w:space="0" w:color="auto"/>
              <w:left w:val="single" w:sz="8" w:space="0" w:color="auto"/>
              <w:bottom w:val="single" w:sz="8" w:space="0" w:color="auto"/>
              <w:right w:val="single" w:sz="8" w:space="0" w:color="auto"/>
            </w:tcBorders>
            <w:hideMark/>
          </w:tcPr>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b/>
                <w:bCs/>
                <w:kern w:val="0"/>
                <w:sz w:val="24"/>
                <w:szCs w:val="24"/>
              </w:rPr>
              <w:t>专栏17：浙江省高校校园安全标准化建设工程</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kern w:val="0"/>
                <w:sz w:val="24"/>
                <w:szCs w:val="24"/>
              </w:rPr>
              <w:t>1.制订《浙江省高等学校实验室安全标准》，明确高校各类实验室安全管理制度、硬件设施配备、仪器操作规程及安全检查方法，切实提高高校实验室安全的科学管理水平，降低实验室安全事故发生的概率和损失。</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kern w:val="0"/>
                <w:sz w:val="24"/>
                <w:szCs w:val="24"/>
              </w:rPr>
              <w:t>2.制订《浙江省高等学校化学试剂仓库建设规范》，有效解决试剂仓库建设过程中各项规范分散、统筹性不强的问题。</w:t>
            </w:r>
            <w:r w:rsidRPr="00FB16C9">
              <w:rPr>
                <w:rFonts w:ascii="宋体" w:eastAsia="宋体" w:hAnsi="宋体" w:cs="宋体"/>
                <w:kern w:val="0"/>
                <w:sz w:val="24"/>
                <w:szCs w:val="24"/>
              </w:rPr>
              <w:t xml:space="preserve"> </w:t>
            </w:r>
          </w:p>
          <w:p w:rsidR="00FB16C9" w:rsidRPr="00FB16C9" w:rsidRDefault="00FB16C9" w:rsidP="00FB16C9">
            <w:pPr>
              <w:widowControl/>
              <w:spacing w:before="100" w:beforeAutospacing="1" w:after="100" w:afterAutospacing="1"/>
              <w:jc w:val="left"/>
              <w:rPr>
                <w:rFonts w:ascii="宋体" w:eastAsia="宋体" w:hAnsi="宋体" w:cs="宋体"/>
                <w:kern w:val="0"/>
                <w:sz w:val="24"/>
                <w:szCs w:val="24"/>
              </w:rPr>
            </w:pPr>
            <w:r w:rsidRPr="00FB16C9">
              <w:rPr>
                <w:rFonts w:ascii="宋体" w:eastAsia="宋体" w:hAnsi="宋体" w:cs="宋体" w:hint="eastAsia"/>
                <w:kern w:val="0"/>
                <w:sz w:val="24"/>
                <w:szCs w:val="24"/>
              </w:rPr>
              <w:t>3.制订《浙江省高等学校公益性食堂配置标准（试行）》：加强学生食堂标准化建设，推行食品安全监督量化分级和以“常组织、常整顿、常清洁、常规范、常自律”为主要内容的食堂“五常法”管理，开展示范创建，不断提高食堂规范化运作水平。</w:t>
            </w:r>
            <w:r w:rsidRPr="00FB16C9">
              <w:rPr>
                <w:rFonts w:ascii="宋体" w:eastAsia="宋体" w:hAnsi="宋体" w:cs="宋体"/>
                <w:kern w:val="0"/>
                <w:sz w:val="24"/>
                <w:szCs w:val="24"/>
              </w:rPr>
              <w:t xml:space="preserve"> </w:t>
            </w:r>
          </w:p>
        </w:tc>
      </w:tr>
    </w:tbl>
    <w:p w:rsidR="00B35461" w:rsidRPr="00FB16C9" w:rsidRDefault="00B35461" w:rsidP="00FB16C9">
      <w:pPr>
        <w:widowControl/>
        <w:spacing w:before="100" w:beforeAutospacing="1" w:after="100" w:afterAutospacing="1"/>
        <w:jc w:val="left"/>
        <w:rPr>
          <w:rFonts w:ascii="宋体" w:eastAsia="宋体" w:hAnsi="宋体" w:cs="宋体"/>
          <w:kern w:val="0"/>
          <w:sz w:val="24"/>
          <w:szCs w:val="24"/>
        </w:rPr>
      </w:pPr>
    </w:p>
    <w:sectPr w:rsidR="00B35461" w:rsidRPr="00FB16C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6C9"/>
    <w:rsid w:val="00B35461"/>
    <w:rsid w:val="00FB1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Char"/>
    <w:uiPriority w:val="9"/>
    <w:qFormat/>
    <w:rsid w:val="00FB16C9"/>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FB16C9"/>
    <w:rPr>
      <w:rFonts w:ascii="宋体" w:eastAsia="宋体" w:hAnsi="宋体" w:cs="宋体"/>
      <w:b/>
      <w:bCs/>
      <w:kern w:val="0"/>
      <w:sz w:val="27"/>
      <w:szCs w:val="27"/>
    </w:rPr>
  </w:style>
  <w:style w:type="paragraph" w:styleId="a3">
    <w:name w:val="Normal (Web)"/>
    <w:basedOn w:val="a"/>
    <w:uiPriority w:val="99"/>
    <w:semiHidden/>
    <w:unhideWhenUsed/>
    <w:rsid w:val="00FB16C9"/>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Char"/>
    <w:uiPriority w:val="9"/>
    <w:qFormat/>
    <w:rsid w:val="00FB16C9"/>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FB16C9"/>
    <w:rPr>
      <w:rFonts w:ascii="宋体" w:eastAsia="宋体" w:hAnsi="宋体" w:cs="宋体"/>
      <w:b/>
      <w:bCs/>
      <w:kern w:val="0"/>
      <w:sz w:val="27"/>
      <w:szCs w:val="27"/>
    </w:rPr>
  </w:style>
  <w:style w:type="paragraph" w:styleId="a3">
    <w:name w:val="Normal (Web)"/>
    <w:basedOn w:val="a"/>
    <w:uiPriority w:val="99"/>
    <w:semiHidden/>
    <w:unhideWhenUsed/>
    <w:rsid w:val="00FB16C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831006">
      <w:bodyDiv w:val="1"/>
      <w:marLeft w:val="0"/>
      <w:marRight w:val="0"/>
      <w:marTop w:val="0"/>
      <w:marBottom w:val="0"/>
      <w:divBdr>
        <w:top w:val="none" w:sz="0" w:space="0" w:color="auto"/>
        <w:left w:val="none" w:sz="0" w:space="0" w:color="auto"/>
        <w:bottom w:val="none" w:sz="0" w:space="0" w:color="auto"/>
        <w:right w:val="none" w:sz="0" w:space="0" w:color="auto"/>
      </w:divBdr>
    </w:div>
    <w:div w:id="1031611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2021</Words>
  <Characters>11521</Characters>
  <Application>Microsoft Office Word</Application>
  <DocSecurity>0</DocSecurity>
  <Lines>96</Lines>
  <Paragraphs>27</Paragraphs>
  <ScaleCrop>false</ScaleCrop>
  <Company>DaDiGhost.Com</Company>
  <LinksUpToDate>false</LinksUpToDate>
  <CharactersWithSpaces>13515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DaDiGhost</dc:creator>
  <cp:lastModifiedBy>DaDiGhost</cp:lastModifiedBy>
  <cp:revision>1</cp:revision>
  <dcterms:created xsi:type="dcterms:W3CDTF">2017-04-05T02:31:00Z</dcterms:created>
  <dcterms:modified xsi:type="dcterms:W3CDTF">2017-04-05T02:33:00Z</dcterms:modified>
</cp:coreProperties>
</file>