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</w:p>
    <w:p>
      <w:pPr>
        <w:framePr w:w="1504" w:wrap="auto" w:vAnchor="margin" w:hAnchor="text" w:x="1416" w:y="1211"/>
        <w:widowControl w:val="0"/>
        <w:autoSpaceDE w:val="0"/>
        <w:autoSpaceDN w:val="0"/>
        <w:spacing w:before="0" w:after="0" w:line="300" w:lineRule="exact"/>
        <w:ind w:left="0" w:right="0"/>
        <w:jc w:val="left"/>
        <w:rPr>
          <w:rFonts w:ascii="PBHLLT+·ÂËÎ_GB2312"/>
          <w:color w:val="000000"/>
          <w:spacing w:val="0"/>
          <w:sz w:val="30"/>
        </w:rPr>
      </w:pPr>
      <w:r>
        <w:rPr>
          <w:rFonts w:ascii="NUTCWW+·ÂËÎ_GB2312" w:hAnsi="NUTCWW+·ÂËÎ_GB2312" w:cs="NUTCWW+·ÂËÎ_GB2312"/>
          <w:color w:val="000000"/>
          <w:spacing w:val="0"/>
          <w:sz w:val="30"/>
        </w:rPr>
        <w:t xml:space="preserve">附件 </w:t>
      </w:r>
      <w:r>
        <w:rPr>
          <w:rFonts w:ascii="PBHLLT+·ÂËÎ_GB2312"/>
          <w:color w:val="000000"/>
          <w:spacing w:val="0"/>
          <w:sz w:val="30"/>
        </w:rPr>
        <w:t xml:space="preserve"> 2.</w:t>
      </w:r>
    </w:p>
    <w:p>
      <w:pPr>
        <w:framePr w:w="6340" w:wrap="auto" w:vAnchor="margin" w:hAnchor="text" w:x="3197" w:y="2039"/>
        <w:widowControl w:val="0"/>
        <w:autoSpaceDE w:val="0"/>
        <w:autoSpaceDN w:val="0"/>
        <w:spacing w:before="0" w:after="0" w:line="360" w:lineRule="exact"/>
        <w:ind w:left="0" w:right="0"/>
        <w:jc w:val="left"/>
        <w:rPr>
          <w:rFonts w:ascii="QVWFUQ+ËÎÌå" w:hAnsi="QVWFUQ+ËÎÌå" w:cs="QVWFUQ+ËÎÌå"/>
          <w:color w:val="000000"/>
          <w:spacing w:val="0"/>
          <w:sz w:val="36"/>
        </w:rPr>
      </w:pPr>
      <w:r>
        <w:rPr>
          <w:rFonts w:ascii="JMCLSR+ËÎÌå"/>
          <w:color w:val="000000"/>
          <w:spacing w:val="0"/>
          <w:sz w:val="36"/>
        </w:rPr>
        <w:t>VLOG</w:t>
      </w:r>
      <w:r>
        <w:rPr>
          <w:rFonts w:ascii="QVWFUQ+ËÎÌå" w:hAnsi="QVWFUQ+ËÎÌå" w:cs="QVWFUQ+ËÎÌå"/>
          <w:color w:val="000000"/>
          <w:spacing w:val="0"/>
          <w:sz w:val="36"/>
        </w:rPr>
        <w:t>创作竞赛（学生组）组织方案</w:t>
      </w:r>
    </w:p>
    <w:p>
      <w:pPr>
        <w:framePr w:w="10426" w:wrap="auto" w:vAnchor="margin" w:hAnchor="text" w:x="1416" w:y="3089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一、参赛对象：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学习国际经济与贸易、国际贸易实务、国际</w:t>
      </w:r>
    </w:p>
    <w:p>
      <w:pPr>
        <w:framePr w:w="10426" w:wrap="auto" w:vAnchor="margin" w:hAnchor="text" w:x="1416" w:y="3089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商务、商务英语等专业或相关专业的本科院校和高职院校学生。</w:t>
      </w:r>
    </w:p>
    <w:p>
      <w:pPr>
        <w:framePr w:w="10426" w:wrap="auto" w:vAnchor="margin" w:hAnchor="text" w:x="1416" w:y="3089"/>
        <w:widowControl w:val="0"/>
        <w:autoSpaceDE w:val="0"/>
        <w:autoSpaceDN w:val="0"/>
        <w:spacing w:before="0" w:after="0" w:line="624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二、竞赛形式</w:t>
      </w:r>
      <w:r>
        <w:rPr>
          <w:rFonts w:ascii="LSRCST+ºÚÌå"/>
          <w:color w:val="000000"/>
          <w:spacing w:val="0"/>
          <w:sz w:val="32"/>
        </w:rPr>
        <w:t>: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团体赛；采取非现场评审方式。</w:t>
      </w:r>
    </w:p>
    <w:p>
      <w:pPr>
        <w:framePr w:w="10426" w:wrap="auto" w:vAnchor="margin" w:hAnchor="text" w:x="1416" w:y="3089"/>
        <w:widowControl w:val="0"/>
        <w:autoSpaceDE w:val="0"/>
        <w:autoSpaceDN w:val="0"/>
        <w:spacing w:before="0" w:after="0" w:line="624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三、竞赛语言：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中文或英文。</w:t>
      </w:r>
    </w:p>
    <w:p>
      <w:pPr>
        <w:framePr w:w="6166" w:wrap="auto" w:vAnchor="margin" w:hAnchor="text" w:x="2044" w:y="5587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四、竞赛主题：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国贸竞赛—</w:t>
      </w:r>
      <w:r>
        <w:rPr>
          <w:rFonts w:ascii="PBHLLT+·ÂËÎ_GB2312"/>
          <w:color w:val="000000"/>
          <w:spacing w:val="0"/>
          <w:sz w:val="32"/>
        </w:rPr>
        <w:t>Young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青春</w:t>
      </w:r>
    </w:p>
    <w:p>
      <w:pPr>
        <w:framePr w:w="6166" w:wrap="auto" w:vAnchor="margin" w:hAnchor="text" w:x="2044" w:y="558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VMGLNG+ºÚÌå" w:hAnsi="VMGLNG+ºÚÌå" w:cs="VMGLNG+ºÚÌå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五、设计与提交要求</w:t>
      </w:r>
    </w:p>
    <w:p>
      <w:pPr>
        <w:framePr w:w="10619" w:wrap="auto" w:vAnchor="margin" w:hAnchor="text" w:x="1416" w:y="6835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（一）作品内容健康、积极向上，紧扣竞赛主题，不得违反</w:t>
      </w:r>
    </w:p>
    <w:p>
      <w:pPr>
        <w:framePr w:w="10619" w:wrap="auto" w:vAnchor="margin" w:hAnchor="text" w:x="1416" w:y="6835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有关法律、法规以及公认的道德规范。鼓励选手创新，采用新鲜、</w:t>
      </w:r>
    </w:p>
    <w:p>
      <w:pPr>
        <w:framePr w:w="10619" w:wrap="auto" w:vAnchor="margin" w:hAnchor="text" w:x="1416" w:y="6835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新颖的视角创作视频。</w:t>
      </w:r>
    </w:p>
    <w:p>
      <w:pPr>
        <w:framePr w:w="10619" w:wrap="auto" w:vAnchor="margin" w:hAnchor="text" w:x="1416" w:y="8707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（二）主题鲜明，以短视频的形式进行创作。作品必须原创，</w:t>
      </w:r>
    </w:p>
    <w:p>
      <w:pPr>
        <w:framePr w:w="10619" w:wrap="auto" w:vAnchor="margin" w:hAnchor="text" w:x="1416" w:y="870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禁止抄袭。</w:t>
      </w:r>
    </w:p>
    <w:p>
      <w:pPr>
        <w:framePr w:w="2881" w:wrap="auto" w:vAnchor="margin" w:hAnchor="text" w:x="2056" w:y="9956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PBHLLT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（三）作品标准</w:t>
      </w:r>
      <w:r>
        <w:rPr>
          <w:rFonts w:ascii="PBHLLT+·ÂËÎ_GB2312"/>
          <w:color w:val="000000"/>
          <w:spacing w:val="0"/>
          <w:sz w:val="32"/>
        </w:rPr>
        <w:t>:</w:t>
      </w:r>
    </w:p>
    <w:p>
      <w:pPr>
        <w:framePr w:w="10433" w:wrap="auto" w:vAnchor="margin" w:hAnchor="text" w:x="1416" w:y="10580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、时长：视频长度不少于两分钟不超过五分钟；</w:t>
      </w:r>
    </w:p>
    <w:p>
      <w:pPr>
        <w:framePr w:w="10433" w:wrap="auto" w:vAnchor="margin" w:hAnchor="text" w:x="1416" w:y="10580"/>
        <w:widowControl w:val="0"/>
        <w:autoSpaceDE w:val="0"/>
        <w:autoSpaceDN w:val="0"/>
        <w:spacing w:before="0" w:after="0" w:line="624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2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、字幕：为了便于优质作品国际传播，建议提交的作品自配</w:t>
      </w:r>
    </w:p>
    <w:p>
      <w:pPr>
        <w:framePr w:w="10433" w:wrap="auto" w:vAnchor="margin" w:hAnchor="text" w:x="1416" w:y="1058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中英文双语字幕。</w:t>
      </w:r>
    </w:p>
    <w:p>
      <w:pPr>
        <w:framePr w:w="4600" w:wrap="auto" w:vAnchor="margin" w:hAnchor="text" w:x="2056" w:y="12452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3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、色彩：彩色、黑白皆可；</w:t>
      </w:r>
    </w:p>
    <w:p>
      <w:pPr>
        <w:framePr w:w="4602" w:wrap="auto" w:vAnchor="margin" w:hAnchor="text" w:x="2056" w:y="13076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4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、画面：横屏、竖屏均可；</w:t>
      </w:r>
    </w:p>
    <w:p>
      <w:pPr>
        <w:framePr w:w="10595" w:wrap="auto" w:vAnchor="margin" w:hAnchor="text" w:x="1416" w:y="13700"/>
        <w:widowControl w:val="0"/>
        <w:autoSpaceDE w:val="0"/>
        <w:autoSpaceDN w:val="0"/>
        <w:spacing w:before="0" w:after="0" w:line="320" w:lineRule="exact"/>
        <w:ind w:left="572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（四）作品的提交要求：提交的内容包括：作品及作品简介；</w:t>
      </w:r>
    </w:p>
    <w:p>
      <w:pPr>
        <w:framePr w:w="10595" w:wrap="auto" w:vAnchor="margin" w:hAnchor="text" w:x="1416" w:y="1370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作品文件夹命名要求：作品名称＋学校名称＋姓名。</w:t>
      </w:r>
    </w:p>
    <w:p>
      <w:pPr>
        <w:framePr w:w="10595" w:wrap="auto" w:vAnchor="margin" w:hAnchor="text" w:x="1416" w:y="13700"/>
        <w:widowControl w:val="0"/>
        <w:autoSpaceDE w:val="0"/>
        <w:autoSpaceDN w:val="0"/>
        <w:spacing w:before="0" w:after="0" w:line="624" w:lineRule="exact"/>
        <w:ind w:left="572" w:right="0"/>
        <w:jc w:val="left"/>
        <w:rPr>
          <w:rFonts w:ascii="VMGLNG+ºÚÌå" w:hAnsi="VMGLNG+ºÚÌå" w:cs="VMGLNG+ºÚÌå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六、作品的版权要求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</w:p>
    <w:p>
      <w:pPr>
        <w:framePr w:w="10428" w:wrap="auto" w:vAnchor="margin" w:hAnchor="text" w:x="1416" w:y="1270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（一）作品必须为原创，必须符合大赛规定的主题。作品版</w:t>
      </w:r>
    </w:p>
    <w:p>
      <w:pPr>
        <w:framePr w:w="10428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权为参赛选手所有，使用权归参赛者和主办方共有，主办方有权</w:t>
      </w:r>
    </w:p>
    <w:p>
      <w:pPr>
        <w:framePr w:w="10428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将作品用于宣传、推广活动。</w:t>
      </w:r>
    </w:p>
    <w:p>
      <w:pPr>
        <w:framePr w:w="10431" w:wrap="auto" w:vAnchor="margin" w:hAnchor="text" w:x="1416" w:y="3142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（二）为保证比赛公平性，在规定时之前任何参赛选手不得</w:t>
      </w:r>
    </w:p>
    <w:p>
      <w:pPr>
        <w:framePr w:w="10431" w:wrap="auto" w:vAnchor="margin" w:hAnchor="text" w:x="1416" w:y="3142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将参赛作品私自上传至网络平台。</w:t>
      </w:r>
    </w:p>
    <w:p>
      <w:pPr>
        <w:framePr w:w="10613" w:wrap="auto" w:vAnchor="margin" w:hAnchor="text" w:x="1416" w:y="4390"/>
        <w:widowControl w:val="0"/>
        <w:autoSpaceDE w:val="0"/>
        <w:autoSpaceDN w:val="0"/>
        <w:spacing w:before="0" w:after="0" w:line="320" w:lineRule="exact"/>
        <w:ind w:left="572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（三）参赛作品严谨抄袭盗用他人作品，如发现此类违规行为，</w:t>
      </w:r>
    </w:p>
    <w:p>
      <w:pPr>
        <w:framePr w:w="10613" w:wrap="auto" w:vAnchor="margin" w:hAnchor="text" w:x="1416" w:y="439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将取消该参赛选手比赛资格。由版权问题引起的纠纷主办方概不</w:t>
      </w:r>
    </w:p>
    <w:p>
      <w:pPr>
        <w:framePr w:w="10613" w:wrap="auto" w:vAnchor="margin" w:hAnchor="text" w:x="1416" w:y="4390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负责。</w:t>
      </w:r>
    </w:p>
    <w:p>
      <w:pPr>
        <w:framePr w:w="10614" w:wrap="auto" w:vAnchor="margin" w:hAnchor="text" w:x="1416" w:y="6262"/>
        <w:widowControl w:val="0"/>
        <w:autoSpaceDE w:val="0"/>
        <w:autoSpaceDN w:val="0"/>
        <w:spacing w:before="0" w:after="0" w:line="320" w:lineRule="exact"/>
        <w:ind w:left="572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（四）作品应无版权风险，为参赛者原创作品，不得使用无版</w:t>
      </w:r>
    </w:p>
    <w:p>
      <w:pPr>
        <w:framePr w:w="10614" w:wrap="auto" w:vAnchor="margin" w:hAnchor="text" w:x="1416" w:y="6262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权素材，不得侵犯第三方的著作权、商标权等一切合法权利，严</w:t>
      </w:r>
    </w:p>
    <w:p>
      <w:pPr>
        <w:framePr w:w="10614" w:wrap="auto" w:vAnchor="margin" w:hAnchor="text" w:x="1416" w:y="6262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禁抄袭，一经发现将由参赛者承办全部责任。</w:t>
      </w:r>
    </w:p>
    <w:p>
      <w:pPr>
        <w:framePr w:w="10614" w:wrap="auto" w:vAnchor="margin" w:hAnchor="text" w:x="1416" w:y="6262"/>
        <w:widowControl w:val="0"/>
        <w:autoSpaceDE w:val="0"/>
        <w:autoSpaceDN w:val="0"/>
        <w:spacing w:before="0" w:after="0" w:line="624" w:lineRule="exact"/>
        <w:ind w:left="572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（五）如为改编作品，需由参赛选手自行争取版权所有者同意，</w:t>
      </w:r>
    </w:p>
    <w:p>
      <w:pPr>
        <w:framePr w:w="10614" w:wrap="auto" w:vAnchor="margin" w:hAnchor="text" w:x="1416" w:y="6262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必须于片尾字幕以文字标示原作品来源。</w:t>
      </w:r>
    </w:p>
    <w:p>
      <w:pPr>
        <w:framePr w:w="7362" w:wrap="auto" w:vAnchor="margin" w:hAnchor="text" w:x="1952" w:y="9383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七、竞赛时间：</w:t>
      </w:r>
      <w:r>
        <w:rPr>
          <w:rFonts w:ascii="PBHLLT+·ÂËÎ_GB2312"/>
          <w:color w:val="000000"/>
          <w:spacing w:val="0"/>
          <w:sz w:val="32"/>
        </w:rPr>
        <w:t>2020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11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月—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月。</w:t>
      </w:r>
    </w:p>
    <w:p>
      <w:pPr>
        <w:framePr w:w="7362" w:wrap="auto" w:vAnchor="margin" w:hAnchor="text" w:x="1952" w:y="9383"/>
        <w:widowControl w:val="0"/>
        <w:autoSpaceDE w:val="0"/>
        <w:autoSpaceDN w:val="0"/>
        <w:spacing w:before="0" w:after="0" w:line="624" w:lineRule="exact"/>
        <w:ind w:left="104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月上旬，提交参赛作品。</w:t>
      </w:r>
    </w:p>
    <w:p>
      <w:pPr>
        <w:framePr w:w="6351" w:wrap="auto" w:vAnchor="margin" w:hAnchor="text" w:x="2044" w:y="10632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月底，公布竞赛结果。</w:t>
      </w:r>
    </w:p>
    <w:p>
      <w:pPr>
        <w:framePr w:w="2400" w:wrap="auto" w:vAnchor="margin" w:hAnchor="text" w:x="1952" w:y="11256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VMGLNG+ºÚÌå" w:hAnsi="VMGLNG+ºÚÌå" w:cs="VMGLNG+ºÚÌå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八、奖励办法</w:t>
      </w:r>
    </w:p>
    <w:p>
      <w:pPr>
        <w:framePr w:w="10431" w:wrap="auto" w:vAnchor="margin" w:hAnchor="text" w:x="1416" w:y="11880"/>
        <w:widowControl w:val="0"/>
        <w:autoSpaceDE w:val="0"/>
        <w:autoSpaceDN w:val="0"/>
        <w:spacing w:before="0" w:after="0" w:line="320" w:lineRule="exact"/>
        <w:ind w:left="536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总决赛设置十佳优秀 </w:t>
      </w:r>
      <w:r>
        <w:rPr>
          <w:rFonts w:ascii="PBHLLT+·ÂËÎ_GB2312"/>
          <w:color w:val="000000"/>
          <w:spacing w:val="0"/>
          <w:sz w:val="32"/>
        </w:rPr>
        <w:t>VLOG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短视频奖，对上述获奖的团队，由</w:t>
      </w:r>
    </w:p>
    <w:p>
      <w:pPr>
        <w:framePr w:w="10431" w:wrap="auto" w:vAnchor="margin" w:hAnchor="text" w:x="1416" w:y="1188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中国贸促会商业行业委员会、中国国际商会商业行业商会、中国</w:t>
      </w:r>
    </w:p>
    <w:p>
      <w:pPr>
        <w:framePr w:w="10431" w:wrap="auto" w:vAnchor="margin" w:hAnchor="text" w:x="1416" w:y="1188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商业经济学会和中国会展经济研究会共同颁发荣誉证书。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  <w:bookmarkStart w:id="0" w:name="_GoBack"/>
      <w:bookmarkEnd w:id="0"/>
    </w:p>
    <w:p/>
    <w:sectPr>
      <w:pgSz w:w="17008" w:h="16838" w:orient="landscape"/>
      <w:pgMar w:top="1440" w:right="1803" w:bottom="1440" w:left="180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BHLLT+·ÂËÎ_GB2312"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NUTCWW+·ÂËÎ_GB2312"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QVWFUQ+ËÎÌå"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JMCLSR+ËÎÌå"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VMGLNG+ºÚÌå"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LSRCST+ºÚÌå">
    <w:panose1 w:val="02010609060101010101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D7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ru-RU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2021-04-03T04:12:42Z</dcterms:created>
  <dc:creator>联想</dc:creator>
  <cp:lastModifiedBy>OOlivia</cp:lastModifiedBy>
  <dcterms:modified xsi:type="dcterms:W3CDTF">2021-04-03T04:18:23Z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662A1C0D0712485F9B575A709B859CF7</vt:lpwstr>
  </property>
</Properties>
</file>