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560" w:lineRule="exact"/>
        <w:ind w:firstLine="0" w:firstLineChars="0"/>
        <w:jc w:val="left"/>
        <w:rPr>
          <w:rFonts w:ascii="仿宋" w:hAnsi="仿宋" w:eastAsia="仿宋"/>
          <w:sz w:val="32"/>
          <w:szCs w:val="32"/>
          <w:lang w:bidi="zh-TW"/>
        </w:rPr>
      </w:pPr>
      <w:r>
        <w:rPr>
          <w:rFonts w:hint="eastAsia" w:ascii="仿宋" w:hAnsi="仿宋" w:eastAsia="仿宋"/>
          <w:sz w:val="32"/>
          <w:szCs w:val="32"/>
          <w:lang w:bidi="zh-TW"/>
        </w:rPr>
        <w:t>附件</w:t>
      </w:r>
      <w:r>
        <w:rPr>
          <w:rFonts w:ascii="仿宋" w:hAnsi="仿宋" w:eastAsia="仿宋"/>
          <w:sz w:val="32"/>
          <w:szCs w:val="32"/>
          <w:lang w:bidi="zh-TW"/>
        </w:rPr>
        <w:t>2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2021-2022学年兴趣课程二次立项通过名单</w:t>
      </w:r>
    </w:p>
    <w:tbl>
      <w:tblPr>
        <w:tblStyle w:val="2"/>
        <w:tblW w:w="105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3"/>
        <w:gridCol w:w="3209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E7E6E6" w:themeFill="background2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</w:rPr>
              <w:t>兴趣课程名称</w:t>
            </w:r>
          </w:p>
        </w:tc>
        <w:tc>
          <w:tcPr>
            <w:tcW w:w="3209" w:type="dxa"/>
            <w:shd w:val="clear" w:color="auto" w:fill="E7E6E6" w:themeFill="background2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</w:rPr>
              <w:t>学生组织（学生社团）</w:t>
            </w:r>
          </w:p>
        </w:tc>
        <w:tc>
          <w:tcPr>
            <w:tcW w:w="2177" w:type="dxa"/>
            <w:shd w:val="clear" w:color="auto" w:fill="E7E6E6" w:themeFill="background2"/>
            <w:vAlign w:val="center"/>
          </w:tcPr>
          <w:p>
            <w:pPr>
              <w:widowControl/>
              <w:jc w:val="center"/>
              <w:rPr>
                <w:rFonts w:ascii="楷体" w:hAnsi="楷体" w:eastAsia="楷体" w:cs="宋体"/>
                <w:color w:val="00000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color w:val="000000"/>
                <w:sz w:val="24"/>
                <w:szCs w:val="24"/>
              </w:rPr>
              <w:t>业务指导单位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β-house信息技术类竞赛指导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β-house工作室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足球兴趣课程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绿茵联盟足球社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节气中的饮食文化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美食联盟社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院团委学生社团指导中心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12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国际经贸知识普及讲座</w:t>
            </w:r>
          </w:p>
        </w:tc>
        <w:tc>
          <w:tcPr>
            <w:tcW w:w="320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正和国贸协会</w:t>
            </w:r>
          </w:p>
        </w:tc>
        <w:tc>
          <w:tcPr>
            <w:tcW w:w="217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2"/>
              </w:rPr>
              <w:t>院团委学生社团指导中心</w:t>
            </w:r>
          </w:p>
        </w:tc>
      </w:tr>
    </w:tbl>
    <w:p>
      <w:pPr>
        <w:pStyle w:val="4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以上排序根据星级社团名次确定。</w:t>
      </w:r>
    </w:p>
    <w:p>
      <w:pPr>
        <w:pStyle w:val="4"/>
        <w:spacing w:line="560" w:lineRule="exact"/>
        <w:ind w:firstLine="0" w:firstLineChars="0"/>
        <w:rPr>
          <w:rFonts w:ascii="仿宋" w:hAnsi="仿宋" w:eastAsia="仿宋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8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2022-03-24T04:05:28Z</dcterms:created>
  <dc:creator>DELL</dc:creator>
  <cp:lastModifiedBy>DELL</cp:lastModifiedBy>
  <dcterms:modified xsi:type="dcterms:W3CDTF">2022-03-24T04:05:33Z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5E009853C78A41598084B1872C6C3452</vt:lpwstr>
  </property>
</Properties>
</file>